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午盘总结-2026-09-16周三"/>
      <w:r>
        <w:t xml:space="preserve">🕐 午盘总结 | 2026-09-16（周三）</w:t>
      </w:r>
      <w:bookmarkEnd w:id="20"/>
    </w:p>
    <w:p>
      <w:pPr>
        <w:pStyle w:val="Heading2"/>
      </w:pPr>
      <w:bookmarkStart w:id="21" w:name="上午行情概览"/>
      <w:r>
        <w:t xml:space="preserve">📊 上午行情概览</w:t>
      </w:r>
      <w:bookmarkEnd w:id="21"/>
    </w:p>
    <w:p>
      <w:pPr>
        <w:pStyle w:val="FirstParagraph"/>
      </w:pPr>
      <w:r>
        <w:t xml:space="preserve">今日A股三大指数低开高走，午盘集体大涨，科创成长风格显著占优，市场赚钱效应强劲回暖。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指数名称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午盘点位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涨跌幅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半日成交额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多源数据校验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上证指数</w:t>
            </w:r>
          </w:p>
        </w:tc>
        <w:tc>
          <w:p>
            <w:pPr>
              <w:pStyle w:val="Compact"/>
              <w:jc w:val="left"/>
            </w:pPr>
            <w:r>
              <w:t xml:space="preserve">3886.48</w:t>
            </w:r>
          </w:p>
        </w:tc>
        <w:tc>
          <w:p>
            <w:pPr>
              <w:pStyle w:val="Compact"/>
              <w:jc w:val="left"/>
            </w:pPr>
            <w:r>
              <w:t xml:space="preserve">+0.57%</w:t>
            </w:r>
          </w:p>
        </w:tc>
        <w:tc>
          <w:p>
            <w:pPr>
              <w:pStyle w:val="Compact"/>
              <w:jc w:val="left"/>
            </w:pPr>
            <w:r>
              <w:t xml:space="preserve">5528.14亿元</w:t>
            </w:r>
          </w:p>
        </w:tc>
        <w:tc>
          <w:p>
            <w:pPr>
              <w:pStyle w:val="Compact"/>
              <w:jc w:val="left"/>
            </w:pPr>
            <w:r>
              <w:t xml:space="preserve">新浪/东财/腾讯一致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深证成指</w:t>
            </w:r>
          </w:p>
        </w:tc>
        <w:tc>
          <w:p>
            <w:pPr>
              <w:pStyle w:val="Compact"/>
              <w:jc w:val="left"/>
            </w:pPr>
            <w:r>
              <w:t xml:space="preserve">13476.85</w:t>
            </w:r>
          </w:p>
        </w:tc>
        <w:tc>
          <w:p>
            <w:pPr>
              <w:pStyle w:val="Compact"/>
              <w:jc w:val="left"/>
            </w:pPr>
            <w:r>
              <w:t xml:space="preserve">+1.42%</w:t>
            </w:r>
          </w:p>
        </w:tc>
        <w:tc>
          <w:p>
            <w:pPr>
              <w:pStyle w:val="Compact"/>
              <w:jc w:val="left"/>
            </w:pPr>
            <w:r>
              <w:t xml:space="preserve">6122.72亿元</w:t>
            </w:r>
          </w:p>
        </w:tc>
        <w:tc>
          <w:p>
            <w:pPr>
              <w:pStyle w:val="Compact"/>
              <w:jc w:val="left"/>
            </w:pPr>
            <w:r>
              <w:t xml:space="preserve">新浪/东财/腾讯一致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创业板指</w:t>
            </w:r>
          </w:p>
        </w:tc>
        <w:tc>
          <w:p>
            <w:pPr>
              <w:pStyle w:val="Compact"/>
              <w:jc w:val="left"/>
            </w:pPr>
            <w:r>
              <w:t xml:space="preserve">3324.36</w:t>
            </w:r>
          </w:p>
        </w:tc>
        <w:tc>
          <w:p>
            <w:pPr>
              <w:pStyle w:val="Compact"/>
              <w:jc w:val="left"/>
            </w:pPr>
            <w:r>
              <w:t xml:space="preserve">+2.35%</w:t>
            </w:r>
          </w:p>
        </w:tc>
        <w:tc>
          <w:p>
            <w:pPr>
              <w:pStyle w:val="Compact"/>
              <w:jc w:val="left"/>
            </w:pPr>
            <w:r>
              <w:t xml:space="preserve">2890.97亿元</w:t>
            </w:r>
          </w:p>
        </w:tc>
        <w:tc>
          <w:p>
            <w:pPr>
              <w:pStyle w:val="Compact"/>
              <w:jc w:val="left"/>
            </w:pPr>
            <w:r>
              <w:t xml:space="preserve">新浪/东财/腾讯一致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科创50</w:t>
            </w:r>
          </w:p>
        </w:tc>
        <w:tc>
          <w:p>
            <w:pPr>
              <w:pStyle w:val="Compact"/>
              <w:jc w:val="left"/>
            </w:pPr>
            <w:r>
              <w:t xml:space="preserve">1621.75</w:t>
            </w:r>
          </w:p>
        </w:tc>
        <w:tc>
          <w:p>
            <w:pPr>
              <w:pStyle w:val="Compact"/>
              <w:jc w:val="left"/>
            </w:pPr>
            <w:r>
              <w:t xml:space="preserve">+4.50%</w:t>
            </w:r>
          </w:p>
        </w:tc>
        <w:tc>
          <w:p>
            <w:pPr>
              <w:pStyle w:val="Compact"/>
              <w:jc w:val="left"/>
            </w:pPr>
            <w:r>
              <w:t xml:space="preserve">593.82亿元</w:t>
            </w:r>
          </w:p>
        </w:tc>
        <w:tc>
          <w:p>
            <w:pPr>
              <w:pStyle w:val="Compact"/>
              <w:jc w:val="left"/>
            </w:pPr>
            <w:r>
              <w:t xml:space="preserve">新浪/东财/腾讯一致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沪深300</w:t>
            </w:r>
          </w:p>
        </w:tc>
        <w:tc>
          <w:p>
            <w:pPr>
              <w:pStyle w:val="Compact"/>
              <w:jc w:val="left"/>
            </w:pPr>
            <w:r>
              <w:t xml:space="preserve">4479.55</w:t>
            </w:r>
          </w:p>
        </w:tc>
        <w:tc>
          <w:p>
            <w:pPr>
              <w:pStyle w:val="Compact"/>
              <w:jc w:val="left"/>
            </w:pPr>
            <w:r>
              <w:t xml:space="preserve">+0.66%</w:t>
            </w:r>
          </w:p>
        </w:tc>
        <w:tc>
          <w:p>
            <w:pPr>
              <w:pStyle w:val="Compact"/>
              <w:jc w:val="left"/>
            </w:pPr>
            <w:r>
              <w:t xml:space="preserve">3003.54亿元</w:t>
            </w:r>
          </w:p>
        </w:tc>
        <w:tc>
          <w:p>
            <w:pPr>
              <w:pStyle w:val="Compact"/>
              <w:jc w:val="left"/>
            </w:pPr>
            <w:r>
              <w:t xml:space="preserve">新浪/东财/腾讯一致</w:t>
            </w:r>
          </w:p>
        </w:tc>
      </w:tr>
    </w:tbl>
    <w:p>
      <w:pPr>
        <w:numPr>
          <w:ilvl w:val="0"/>
          <w:numId w:val="1001"/>
        </w:numPr>
        <w:pStyle w:val="Compact"/>
      </w:pPr>
      <w:r>
        <w:rPr>
          <w:b/>
        </w:rPr>
        <w:t xml:space="preserve">成交额与量能</w:t>
      </w:r>
      <w:r>
        <w:t xml:space="preserve">：同花顺数据显示，沪深两市半日合计成交额达 11738.00 亿元（1.17万亿元），原始金额较前一交易日有所增加。因采集对比口径为未核验（unverified），量能变化仅作为温和量能佐证，不作为强确定性变动率结论。</w:t>
      </w:r>
    </w:p>
    <w:p>
      <w:pPr>
        <w:numPr>
          <w:ilvl w:val="0"/>
          <w:numId w:val="1001"/>
        </w:numPr>
        <w:pStyle w:val="Compact"/>
      </w:pPr>
      <w:r>
        <w:rPr>
          <w:b/>
        </w:rPr>
        <w:t xml:space="preserve">涨跌家数与分布</w:t>
      </w:r>
      <w:r>
        <w:t xml:space="preserve">：同花顺独家源显示，全市场上涨 4228 家，下跌 1150 家，平盘 172 家，停牌 14 家；涨停 65 家，跌停 4 家。涨幅在 3%~5% 区间 65 家，0%~3% 区间 3369 家，市场多头氛围浓厚。</w:t>
      </w:r>
    </w:p>
    <w:p>
      <w:pPr>
        <w:numPr>
          <w:ilvl w:val="0"/>
          <w:numId w:val="1001"/>
        </w:numPr>
        <w:pStyle w:val="Compact"/>
      </w:pPr>
      <w:r>
        <w:rPr>
          <w:b/>
        </w:rPr>
        <w:t xml:space="preserve">一句话盘面特征</w:t>
      </w:r>
      <w:r>
        <w:t xml:space="preserve">：科技成长主线极致虹吸，工信部规划与AI产业高景气共振，科创50大涨 4.50%，全市场近八成个股飘红。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2" w:name="领涨板块-top10-龙头股"/>
      <w:r>
        <w:t xml:space="preserve">🔥 领涨板块 TOP10 &amp; 龙头股</w:t>
      </w:r>
      <w:bookmarkEnd w:id="22"/>
    </w:p>
    <w:p>
      <w:pPr>
        <w:pStyle w:val="FirstParagraph"/>
      </w:pPr>
      <w:r>
        <w:t xml:space="preserve">受产业催化与业绩支撑，算力硬件、半导体及电子材料全线爆发：</w:t>
      </w:r>
    </w:p>
    <w:p>
      <w:pPr>
        <w:numPr>
          <w:ilvl w:val="0"/>
          <w:numId w:val="1002"/>
        </w:numPr>
        <w:pStyle w:val="Compact"/>
      </w:pPr>
      <w:r>
        <w:rPr>
          <w:b/>
        </w:rPr>
        <w:t xml:space="preserve">半导体 / 光刻机</w:t>
      </w:r>
      <w:r>
        <w:t xml:space="preserve">：受全球 MLCC 龙头村田制作所扩产消息及产业资金回流刺激，有研硅 20% 涨停，中晶科技 2 连板，有研新材涨停，上海合晶、天岳先进大幅走高。</w:t>
      </w:r>
    </w:p>
    <w:p>
      <w:pPr>
        <w:numPr>
          <w:ilvl w:val="0"/>
          <w:numId w:val="1002"/>
        </w:numPr>
        <w:pStyle w:val="Compact"/>
      </w:pPr>
      <w:r>
        <w:rPr>
          <w:b/>
        </w:rPr>
        <w:t xml:space="preserve">光纤概念 / CPO</w:t>
      </w:r>
      <w:r>
        <w:t xml:space="preserve">：工信部</w:t>
      </w:r>
      <w:r>
        <w:t xml:space="preserve">“</w:t>
      </w:r>
      <w:r>
        <w:t xml:space="preserve">十五五</w:t>
      </w:r>
      <w:r>
        <w:t xml:space="preserve">”</w:t>
      </w:r>
      <w:r>
        <w:t xml:space="preserve">通信规划及海外云厂商资本开支加码催化，东田微大涨超 14% 创历史新高，致尚科技、光迅科技、华脉科技、永鼎股份涨停。</w:t>
      </w:r>
    </w:p>
    <w:p>
      <w:pPr>
        <w:numPr>
          <w:ilvl w:val="0"/>
          <w:numId w:val="1002"/>
        </w:numPr>
        <w:pStyle w:val="Compact"/>
      </w:pPr>
      <w:r>
        <w:rPr>
          <w:b/>
        </w:rPr>
        <w:t xml:space="preserve">PCB 产业链</w:t>
      </w:r>
      <w:r>
        <w:t xml:space="preserve">：上游覆铜板、电子布涨价向下游传导，澳弘电子达成 4 连板，中岩大地、威尔高、华正新材、双星新材封涨停。</w:t>
      </w:r>
    </w:p>
    <w:p>
      <w:pPr>
        <w:numPr>
          <w:ilvl w:val="0"/>
          <w:numId w:val="1002"/>
        </w:numPr>
        <w:pStyle w:val="Compact"/>
      </w:pPr>
      <w:r>
        <w:rPr>
          <w:b/>
        </w:rPr>
        <w:t xml:space="preserve">网络安全</w:t>
      </w:r>
      <w:r>
        <w:t xml:space="preserve">：概念反复活跃，中新赛克 4 连板，启明信息 2 连板。</w:t>
      </w:r>
    </w:p>
    <w:p>
      <w:pPr>
        <w:numPr>
          <w:ilvl w:val="0"/>
          <w:numId w:val="1002"/>
        </w:numPr>
        <w:pStyle w:val="Compact"/>
      </w:pPr>
      <w:r>
        <w:rPr>
          <w:b/>
        </w:rPr>
        <w:t xml:space="preserve">贵金属</w:t>
      </w:r>
      <w:r>
        <w:t xml:space="preserve">：国际避险与商品价格震荡走高，四川黄金、招金黄金、赤峰黄金领涨。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3" w:name="资金流向"/>
      <w:r>
        <w:t xml:space="preserve">💰 资金流向</w:t>
      </w:r>
      <w:bookmarkEnd w:id="23"/>
    </w:p>
    <w:p>
      <w:pPr>
        <w:pStyle w:val="FirstParagraph"/>
      </w:pPr>
      <w:r>
        <w:t xml:space="preserve">根据华泰证券数据交叉验证，上午资金主要流向科技算力与半导体产业链：</w:t>
      </w:r>
    </w:p>
    <w:p>
      <w:pPr>
        <w:numPr>
          <w:ilvl w:val="0"/>
          <w:numId w:val="1003"/>
        </w:numPr>
        <w:pStyle w:val="Compact"/>
      </w:pPr>
      <w:r>
        <w:rPr>
          <w:b/>
        </w:rPr>
        <w:t xml:space="preserve">主力资金流入集中方向</w:t>
      </w:r>
      <w:r>
        <w:t xml:space="preserve">：</w:t>
      </w:r>
    </w:p>
    <w:p>
      <w:pPr>
        <w:numPr>
          <w:ilvl w:val="1"/>
          <w:numId w:val="1004"/>
        </w:numPr>
        <w:pStyle w:val="Compact"/>
      </w:pPr>
      <w:r>
        <w:rPr>
          <w:b/>
        </w:rPr>
        <w:t xml:space="preserve">芯片概念</w:t>
      </w:r>
      <w:r>
        <w:t xml:space="preserve">：主力净流入 403.02 亿元</w:t>
      </w:r>
    </w:p>
    <w:p>
      <w:pPr>
        <w:numPr>
          <w:ilvl w:val="1"/>
          <w:numId w:val="1004"/>
        </w:numPr>
        <w:pStyle w:val="Compact"/>
      </w:pPr>
      <w:r>
        <w:rPr>
          <w:b/>
        </w:rPr>
        <w:t xml:space="preserve">数据中心 AIDC</w:t>
      </w:r>
      <w:r>
        <w:t xml:space="preserve">：主力净流入 264.93 亿元</w:t>
      </w:r>
    </w:p>
    <w:p>
      <w:pPr>
        <w:numPr>
          <w:ilvl w:val="1"/>
          <w:numId w:val="1004"/>
        </w:numPr>
        <w:pStyle w:val="Compact"/>
      </w:pPr>
      <w:r>
        <w:rPr>
          <w:b/>
        </w:rPr>
        <w:t xml:space="preserve">CPO 概念</w:t>
      </w:r>
      <w:r>
        <w:t xml:space="preserve">：主力净流入 252.79 亿元</w:t>
      </w:r>
    </w:p>
    <w:p>
      <w:pPr>
        <w:pStyle w:val="FirstParagraph"/>
      </w:pPr>
      <w:r>
        <w:rPr>
          <w:i/>
        </w:rPr>
        <w:t xml:space="preserve">注：东方财富接口返回 HTTP 502 异常，全市场资金流向明细榜单降级为</w:t>
      </w:r>
      <w:r>
        <w:rPr>
          <w:i/>
        </w:rPr>
        <w:t xml:space="preserve">“</w:t>
      </w:r>
      <w:r>
        <w:rPr>
          <w:i/>
        </w:rPr>
        <w:t xml:space="preserve">未核验（单源/接口降级）</w:t>
      </w:r>
      <w:r>
        <w:rPr>
          <w:i/>
        </w:rPr>
        <w:t xml:space="preserve">”</w:t>
      </w:r>
      <w:r>
        <w:rPr>
          <w:i/>
        </w:rPr>
        <w:t xml:space="preserve">，上述流入数据引用华泰 Skill 验证结果。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4" w:name="资金流出预警"/>
      <w:r>
        <w:t xml:space="preserve">⚠️ 资金流出预警</w:t>
      </w:r>
      <w:bookmarkEnd w:id="24"/>
    </w:p>
    <w:p>
      <w:pPr>
        <w:pStyle w:val="FirstParagraph"/>
      </w:pPr>
      <w:r>
        <w:t xml:space="preserve">科技板块强吸血效应下，传统基建、周期与防守板块承压遭资金净流出：</w:t>
      </w:r>
    </w:p>
    <w:p>
      <w:pPr>
        <w:numPr>
          <w:ilvl w:val="0"/>
          <w:numId w:val="1005"/>
        </w:numPr>
        <w:pStyle w:val="Compact"/>
      </w:pPr>
      <w:r>
        <w:rPr>
          <w:b/>
        </w:rPr>
        <w:t xml:space="preserve">汽车整车</w:t>
      </w:r>
      <w:r>
        <w:t xml:space="preserve">：板块走势低迷，安凯客车、众泰汽车、海马汽车跌幅居前。</w:t>
      </w:r>
    </w:p>
    <w:p>
      <w:pPr>
        <w:numPr>
          <w:ilvl w:val="0"/>
          <w:numId w:val="1005"/>
        </w:numPr>
        <w:pStyle w:val="Compact"/>
      </w:pPr>
      <w:r>
        <w:rPr>
          <w:b/>
        </w:rPr>
        <w:t xml:space="preserve">工程机械</w:t>
      </w:r>
      <w:r>
        <w:t xml:space="preserve">：遭遇强烈卖压，三一重工盘中逼近跌停，山推股份、柳工、恒立液压大幅跟跌。</w:t>
      </w:r>
    </w:p>
    <w:p>
      <w:pPr>
        <w:numPr>
          <w:ilvl w:val="0"/>
          <w:numId w:val="1005"/>
        </w:numPr>
        <w:pStyle w:val="Compact"/>
      </w:pPr>
      <w:r>
        <w:rPr>
          <w:b/>
        </w:rPr>
        <w:t xml:space="preserve">港口航运</w:t>
      </w:r>
      <w:r>
        <w:t xml:space="preserve">：高开低走，南京港、招商南油、招商轮船领跌。</w:t>
      </w:r>
    </w:p>
    <w:p>
      <w:pPr>
        <w:numPr>
          <w:ilvl w:val="0"/>
          <w:numId w:val="1005"/>
        </w:numPr>
        <w:pStyle w:val="Compact"/>
      </w:pPr>
      <w:r>
        <w:rPr>
          <w:b/>
        </w:rPr>
        <w:t xml:space="preserve">大金融与防守板块</w:t>
      </w:r>
      <w:r>
        <w:t xml:space="preserve">：银行、保险及猪肉板块盘中缺乏资金响应，走势弱于大盘。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5" w:name="盘前预判-vs-实盘"/>
      <w:r>
        <w:t xml:space="preserve">🎯 盘前预判 vs 实盘</w:t>
      </w:r>
      <w:bookmarkEnd w:id="25"/>
    </w:p>
    <w:p>
      <w:pPr>
        <w:numPr>
          <w:ilvl w:val="0"/>
          <w:numId w:val="1006"/>
        </w:numPr>
        <w:pStyle w:val="Compact"/>
      </w:pPr>
      <w:r>
        <w:rPr>
          <w:b/>
        </w:rPr>
        <w:t xml:space="preserve">命中点</w:t>
      </w:r>
      <w:r>
        <w:t xml:space="preserve">：预判科技成长（半导体、光纤/CPO、PCB）为核心主线完全被实盘验证，科创50领涨市场，市场整体流动性维持万亿以上高位。</w:t>
      </w:r>
    </w:p>
    <w:p>
      <w:pPr>
        <w:numPr>
          <w:ilvl w:val="0"/>
          <w:numId w:val="1006"/>
        </w:numPr>
        <w:pStyle w:val="Compact"/>
      </w:pPr>
      <w:r>
        <w:rPr>
          <w:b/>
        </w:rPr>
        <w:t xml:space="preserve">偏差点</w:t>
      </w:r>
      <w:r>
        <w:t xml:space="preserve">：传统防守与周期板块（工程机械、汽车整车）受资金抽血影响跌幅超出预期，市场呈现极致的跷跷板风格切换。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6" w:name="下午盘操作建议"/>
      <w:r>
        <w:t xml:space="preserve">🎯 下午盘操作建议</w:t>
      </w:r>
      <w:bookmarkEnd w:id="26"/>
    </w:p>
    <w:p>
      <w:pPr>
        <w:numPr>
          <w:ilvl w:val="0"/>
          <w:numId w:val="1007"/>
        </w:numPr>
        <w:pStyle w:val="Compact"/>
      </w:pPr>
      <w:r>
        <w:rPr>
          <w:b/>
        </w:rPr>
        <w:t xml:space="preserve">市场判断</w:t>
      </w:r>
      <w:r>
        <w:t xml:space="preserve">：大盘震荡上行，科技主线强势领涨，但板块内个股分化加剧，追高需防短线冲高回撤。</w:t>
      </w:r>
    </w:p>
    <w:p>
      <w:pPr>
        <w:numPr>
          <w:ilvl w:val="0"/>
          <w:numId w:val="1007"/>
        </w:numPr>
        <w:pStyle w:val="Compact"/>
      </w:pPr>
      <w:r>
        <w:rPr>
          <w:b/>
        </w:rPr>
        <w:t xml:space="preserve">可继续关注方向</w:t>
      </w:r>
      <w:r>
        <w:t xml:space="preserve">：半导体材料、PCB及光纤/CPO龙头放量标的。</w:t>
      </w:r>
    </w:p>
    <w:p>
      <w:pPr>
        <w:numPr>
          <w:ilvl w:val="0"/>
          <w:numId w:val="1007"/>
        </w:numPr>
        <w:pStyle w:val="Compact"/>
      </w:pPr>
      <w:r>
        <w:rPr>
          <w:b/>
        </w:rPr>
        <w:t xml:space="preserve">需要回避/减仓方向</w:t>
      </w:r>
      <w:r>
        <w:t xml:space="preserve">：高位无量跟涨个股、受资金持续抽血的工程机械与整车弱势股。</w:t>
      </w:r>
    </w:p>
    <w:p>
      <w:pPr>
        <w:numPr>
          <w:ilvl w:val="0"/>
          <w:numId w:val="1007"/>
        </w:numPr>
        <w:pStyle w:val="Compact"/>
      </w:pPr>
      <w:r>
        <w:rPr>
          <w:b/>
        </w:rPr>
        <w:t xml:space="preserve">仓位建议</w:t>
      </w:r>
      <w:r>
        <w:t xml:space="preserve">：激进 80%、稳健 65%、保守 50%（依据 derived 仓位模型）。</w:t>
      </w:r>
    </w:p>
    <w:p>
      <w:pPr>
        <w:numPr>
          <w:ilvl w:val="0"/>
          <w:numId w:val="1007"/>
        </w:numPr>
        <w:pStyle w:val="Compact"/>
      </w:pPr>
      <w:r>
        <w:rPr>
          <w:b/>
        </w:rPr>
        <w:t xml:space="preserve">风险提示</w:t>
      </w:r>
      <w:r>
        <w:t xml:space="preserve">：美联储议息会议即将公布，宏观预期波动风险；科技板块快速轮动风险。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7" w:name="下午投资方向分层"/>
      <w:r>
        <w:t xml:space="preserve">🎯 下午投资方向分层</w:t>
      </w:r>
      <w:bookmarkEnd w:id="27"/>
    </w:p>
    <w:p>
      <w:pPr>
        <w:pStyle w:val="Heading3"/>
      </w:pPr>
      <w:bookmarkStart w:id="28" w:name="方向一pcb-产业链与-cpo-光通信优先级高"/>
      <w:r>
        <w:t xml:space="preserve">方向一：PCB 产业链与 CPO 光通信（优先级：高）</w:t>
      </w:r>
      <w:bookmarkEnd w:id="28"/>
    </w:p>
    <w:p>
      <w:pPr>
        <w:numPr>
          <w:ilvl w:val="0"/>
          <w:numId w:val="1008"/>
        </w:numPr>
        <w:pStyle w:val="Compact"/>
      </w:pPr>
      <w:r>
        <w:t xml:space="preserve">📌</w:t>
      </w:r>
      <w:r>
        <w:t xml:space="preserve"> </w:t>
      </w:r>
      <w:r>
        <w:rPr>
          <w:b/>
        </w:rPr>
        <w:t xml:space="preserve">证据链</w:t>
      </w:r>
      <w:r>
        <w:t xml:space="preserve">：澳弘电子 4 连板，东田微+14% 创历史新高；华迅科技、永鼎股份等多股涨停；CPO 净流入 252.79 亿元；行业业绩大幅增长验证高景气。</w:t>
      </w:r>
    </w:p>
    <w:p>
      <w:pPr>
        <w:numPr>
          <w:ilvl w:val="0"/>
          <w:numId w:val="1008"/>
        </w:numPr>
        <w:pStyle w:val="Compact"/>
      </w:pPr>
      <w:r>
        <w:t xml:space="preserve">🔥</w:t>
      </w:r>
      <w:r>
        <w:t xml:space="preserve"> </w:t>
      </w:r>
      <w:r>
        <w:rPr>
          <w:b/>
        </w:rPr>
        <w:t xml:space="preserve">核心标的</w:t>
      </w:r>
      <w:r>
        <w:t xml:space="preserve">：东田微（CPO技术龙头）、澳弘电子（PCB连板标杆）、光迅科技（光模块龙头）。</w:t>
      </w:r>
    </w:p>
    <w:p>
      <w:pPr>
        <w:numPr>
          <w:ilvl w:val="0"/>
          <w:numId w:val="1008"/>
        </w:numPr>
        <w:pStyle w:val="Compact"/>
      </w:pPr>
      <w:r>
        <w:t xml:space="preserve">💡</w:t>
      </w:r>
      <w:r>
        <w:t xml:space="preserve"> </w:t>
      </w:r>
      <w:r>
        <w:rPr>
          <w:b/>
        </w:rPr>
        <w:t xml:space="preserve">参与策略</w:t>
      </w:r>
      <w:r>
        <w:t xml:space="preserve">：激进者关注龙头放量分歧换手机会；稳健者等待回调五日线企稳；保守者观望。</w:t>
      </w:r>
    </w:p>
    <w:p>
      <w:pPr>
        <w:numPr>
          <w:ilvl w:val="0"/>
          <w:numId w:val="1008"/>
        </w:numPr>
        <w:pStyle w:val="Compact"/>
      </w:pPr>
      <w:r>
        <w:t xml:space="preserve">✅</w:t>
      </w:r>
      <w:r>
        <w:t xml:space="preserve"> </w:t>
      </w:r>
      <w:r>
        <w:rPr>
          <w:b/>
        </w:rPr>
        <w:t xml:space="preserve">触发条件</w:t>
      </w:r>
      <w:r>
        <w:t xml:space="preserve">：板块午后成交量持续放大，龙头股封单坚固不炸板。</w:t>
      </w:r>
    </w:p>
    <w:p>
      <w:pPr>
        <w:numPr>
          <w:ilvl w:val="0"/>
          <w:numId w:val="1008"/>
        </w:numPr>
        <w:pStyle w:val="Compact"/>
      </w:pPr>
      <w:r>
        <w:t xml:space="preserve">🚫</w:t>
      </w:r>
      <w:r>
        <w:t xml:space="preserve"> </w:t>
      </w:r>
      <w:r>
        <w:rPr>
          <w:b/>
        </w:rPr>
        <w:t xml:space="preserve">失效条件</w:t>
      </w:r>
      <w:r>
        <w:t xml:space="preserve">：主力资金转为大幅净流出，龙头股快速炸板回落。</w:t>
      </w:r>
    </w:p>
    <w:p>
      <w:pPr>
        <w:numPr>
          <w:ilvl w:val="0"/>
          <w:numId w:val="1008"/>
        </w:numPr>
        <w:pStyle w:val="Compact"/>
      </w:pPr>
      <w:r>
        <w:t xml:space="preserve">⚠️</w:t>
      </w:r>
      <w:r>
        <w:t xml:space="preserve"> </w:t>
      </w:r>
      <w:r>
        <w:rPr>
          <w:b/>
        </w:rPr>
        <w:t xml:space="preserve">风险</w:t>
      </w:r>
      <w:r>
        <w:t xml:space="preserve">：短线获利盘集中兑现风险。</w:t>
      </w:r>
    </w:p>
    <w:p>
      <w:pPr>
        <w:pStyle w:val="Heading3"/>
      </w:pPr>
      <w:bookmarkStart w:id="29" w:name="方向二半导体材料与光刻机优先级中"/>
      <w:r>
        <w:t xml:space="preserve">方向二：半导体材料与光刻机（优先级：中）</w:t>
      </w:r>
      <w:bookmarkEnd w:id="29"/>
    </w:p>
    <w:p>
      <w:pPr>
        <w:numPr>
          <w:ilvl w:val="0"/>
          <w:numId w:val="1009"/>
        </w:numPr>
        <w:pStyle w:val="Compact"/>
      </w:pPr>
      <w:r>
        <w:t xml:space="preserve">📌</w:t>
      </w:r>
      <w:r>
        <w:t xml:space="preserve"> </w:t>
      </w:r>
      <w:r>
        <w:rPr>
          <w:b/>
        </w:rPr>
        <w:t xml:space="preserve">证据链</w:t>
      </w:r>
      <w:r>
        <w:t xml:space="preserve">：有研硅 20% 涨停，中晶科技 2 连板，芯片概念主力净流入 403.02 亿元。</w:t>
      </w:r>
    </w:p>
    <w:p>
      <w:pPr>
        <w:numPr>
          <w:ilvl w:val="0"/>
          <w:numId w:val="1009"/>
        </w:numPr>
        <w:pStyle w:val="Compact"/>
      </w:pPr>
      <w:r>
        <w:t xml:space="preserve">🔥</w:t>
      </w:r>
      <w:r>
        <w:t xml:space="preserve"> </w:t>
      </w:r>
      <w:r>
        <w:rPr>
          <w:b/>
        </w:rPr>
        <w:t xml:space="preserve">核心标的</w:t>
      </w:r>
      <w:r>
        <w:t xml:space="preserve">：有研硅（材料龙头）、中晶科技（连板龙头）。</w:t>
      </w:r>
    </w:p>
    <w:p>
      <w:pPr>
        <w:numPr>
          <w:ilvl w:val="0"/>
          <w:numId w:val="1009"/>
        </w:numPr>
        <w:pStyle w:val="Compact"/>
      </w:pPr>
      <w:r>
        <w:t xml:space="preserve">💡</w:t>
      </w:r>
      <w:r>
        <w:t xml:space="preserve"> </w:t>
      </w:r>
      <w:r>
        <w:rPr>
          <w:b/>
        </w:rPr>
        <w:t xml:space="preserve">参与策略</w:t>
      </w:r>
      <w:r>
        <w:t xml:space="preserve">：仅逢低布局低位补涨标的，不盲目追高一字板。</w:t>
      </w:r>
    </w:p>
    <w:p>
      <w:pPr>
        <w:numPr>
          <w:ilvl w:val="0"/>
          <w:numId w:val="1009"/>
        </w:numPr>
        <w:pStyle w:val="Compact"/>
      </w:pPr>
      <w:r>
        <w:t xml:space="preserve">✅</w:t>
      </w:r>
      <w:r>
        <w:t xml:space="preserve"> </w:t>
      </w:r>
      <w:r>
        <w:rPr>
          <w:b/>
        </w:rPr>
        <w:t xml:space="preserve">触发条件</w:t>
      </w:r>
      <w:r>
        <w:t xml:space="preserve">：科创50指数维持高位震荡，半导体板块成交量不萎缩。</w:t>
      </w:r>
    </w:p>
    <w:p>
      <w:pPr>
        <w:numPr>
          <w:ilvl w:val="0"/>
          <w:numId w:val="1009"/>
        </w:numPr>
        <w:pStyle w:val="Compact"/>
      </w:pPr>
      <w:r>
        <w:t xml:space="preserve">🚫</w:t>
      </w:r>
      <w:r>
        <w:t xml:space="preserve"> </w:t>
      </w:r>
      <w:r>
        <w:rPr>
          <w:b/>
        </w:rPr>
        <w:t xml:space="preserve">失效条件</w:t>
      </w:r>
      <w:r>
        <w:t xml:space="preserve">：科创50冲高回落回补缺口，资金流出超预期。</w:t>
      </w:r>
    </w:p>
    <w:p>
      <w:pPr>
        <w:numPr>
          <w:ilvl w:val="0"/>
          <w:numId w:val="1009"/>
        </w:numPr>
        <w:pStyle w:val="Compact"/>
      </w:pPr>
      <w:r>
        <w:t xml:space="preserve">⚠️</w:t>
      </w:r>
      <w:r>
        <w:t xml:space="preserve"> </w:t>
      </w:r>
      <w:r>
        <w:rPr>
          <w:b/>
        </w:rPr>
        <w:t xml:space="preserve">风险</w:t>
      </w:r>
      <w:r>
        <w:t xml:space="preserve">：消息面驱动衰减风险。</w:t>
      </w:r>
    </w:p>
    <w:p>
      <w:pPr>
        <w:pStyle w:val="Heading3"/>
      </w:pPr>
      <w:bookmarkStart w:id="30" w:name="方向三传统工程机械与汽车整车优先级回避"/>
      <w:r>
        <w:t xml:space="preserve">方向三：传统工程机械与汽车整车（优先级：回避）</w:t>
      </w:r>
      <w:bookmarkEnd w:id="30"/>
    </w:p>
    <w:p>
      <w:pPr>
        <w:numPr>
          <w:ilvl w:val="0"/>
          <w:numId w:val="1010"/>
        </w:numPr>
        <w:pStyle w:val="Compact"/>
      </w:pPr>
      <w:r>
        <w:t xml:space="preserve">📌</w:t>
      </w:r>
      <w:r>
        <w:t xml:space="preserve"> </w:t>
      </w:r>
      <w:r>
        <w:rPr>
          <w:b/>
        </w:rPr>
        <w:t xml:space="preserve">证据链</w:t>
      </w:r>
      <w:r>
        <w:t xml:space="preserve">：三一重工逼近跌停，安凯客车等领跌，板块表现疲软。</w:t>
      </w:r>
    </w:p>
    <w:p>
      <w:pPr>
        <w:numPr>
          <w:ilvl w:val="0"/>
          <w:numId w:val="1010"/>
        </w:numPr>
        <w:pStyle w:val="Compact"/>
      </w:pPr>
      <w:r>
        <w:t xml:space="preserve">🔥</w:t>
      </w:r>
      <w:r>
        <w:t xml:space="preserve"> </w:t>
      </w:r>
      <w:r>
        <w:rPr>
          <w:b/>
        </w:rPr>
        <w:t xml:space="preserve">核心标的</w:t>
      </w:r>
      <w:r>
        <w:t xml:space="preserve">：三一重工、安凯客车。</w:t>
      </w:r>
    </w:p>
    <w:p>
      <w:pPr>
        <w:numPr>
          <w:ilvl w:val="0"/>
          <w:numId w:val="1010"/>
        </w:numPr>
        <w:pStyle w:val="Compact"/>
      </w:pPr>
      <w:r>
        <w:t xml:space="preserve">💡</w:t>
      </w:r>
      <w:r>
        <w:t xml:space="preserve"> </w:t>
      </w:r>
      <w:r>
        <w:rPr>
          <w:b/>
        </w:rPr>
        <w:t xml:space="preserve">参与策略</w:t>
      </w:r>
      <w:r>
        <w:t xml:space="preserve">：各仓位均建议回避或逢高减仓。</w:t>
      </w:r>
    </w:p>
    <w:p>
      <w:pPr>
        <w:numPr>
          <w:ilvl w:val="0"/>
          <w:numId w:val="1010"/>
        </w:numPr>
        <w:pStyle w:val="Compact"/>
      </w:pPr>
      <w:r>
        <w:t xml:space="preserve">✅</w:t>
      </w:r>
      <w:r>
        <w:t xml:space="preserve"> </w:t>
      </w:r>
      <w:r>
        <w:rPr>
          <w:b/>
        </w:rPr>
        <w:t xml:space="preserve">触发条件</w:t>
      </w:r>
      <w:r>
        <w:t xml:space="preserve">：无明显买入信号。</w:t>
      </w:r>
    </w:p>
    <w:p>
      <w:pPr>
        <w:numPr>
          <w:ilvl w:val="0"/>
          <w:numId w:val="1010"/>
        </w:numPr>
        <w:pStyle w:val="Compact"/>
      </w:pPr>
      <w:r>
        <w:t xml:space="preserve">🚫</w:t>
      </w:r>
      <w:r>
        <w:t xml:space="preserve"> </w:t>
      </w:r>
      <w:r>
        <w:rPr>
          <w:b/>
        </w:rPr>
        <w:t xml:space="preserve">失效条件</w:t>
      </w:r>
      <w:r>
        <w:t xml:space="preserve">：板块出现放量反弹止跌信号。</w:t>
      </w:r>
    </w:p>
    <w:p>
      <w:pPr>
        <w:numPr>
          <w:ilvl w:val="0"/>
          <w:numId w:val="1010"/>
        </w:numPr>
        <w:pStyle w:val="Compact"/>
      </w:pPr>
      <w:r>
        <w:t xml:space="preserve">⚠️</w:t>
      </w:r>
      <w:r>
        <w:t xml:space="preserve"> </w:t>
      </w:r>
      <w:r>
        <w:rPr>
          <w:b/>
        </w:rPr>
        <w:t xml:space="preserve">风险</w:t>
      </w:r>
      <w:r>
        <w:t xml:space="preserve">：资金抽血持续下跌风险。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31" w:name="华泰自选股观察"/>
      <w:r>
        <w:t xml:space="preserve">🧾 华泰自选股观察</w:t>
      </w:r>
      <w:bookmarkEnd w:id="31"/>
    </w:p>
    <w:p>
      <w:pPr>
        <w:pStyle w:val="FirstParagraph"/>
      </w:pPr>
      <w:r>
        <w:t xml:space="preserve">根据华泰自选股清单及行情数据，当前自选池整体呈现</w:t>
      </w:r>
      <w:r>
        <w:rPr>
          <w:b/>
        </w:rPr>
        <w:t xml:space="preserve">分化特征</w:t>
      </w:r>
      <w:r>
        <w:t xml:space="preserve">：AI应用偏强震荡，光伏跟随小幅收红，大银行受跷跷板效应影响小幅回调。与今日科技主线呈局部共振态势。</w:t>
      </w:r>
    </w:p>
    <w:p>
      <w:pPr>
        <w:pStyle w:val="Heading3"/>
      </w:pPr>
      <w:bookmarkStart w:id="32" w:name="弘元绿能603185.sh"/>
      <w:r>
        <w:t xml:space="preserve">1. 弘元绿能（603185.SH）</w:t>
      </w:r>
      <w:bookmarkEnd w:id="32"/>
    </w:p>
    <w:p>
      <w:pPr>
        <w:numPr>
          <w:ilvl w:val="0"/>
          <w:numId w:val="1011"/>
        </w:numPr>
        <w:pStyle w:val="Compact"/>
      </w:pPr>
      <w:r>
        <w:rPr>
          <w:b/>
        </w:rPr>
        <w:t xml:space="preserve">最新表现</w:t>
      </w:r>
      <w:r>
        <w:t xml:space="preserve">：14.06 元，较前收盘 13.86 元上涨</w:t>
      </w:r>
      <w:r>
        <w:t xml:space="preserve"> </w:t>
      </w:r>
      <w:r>
        <w:rPr>
          <w:b/>
        </w:rPr>
        <w:t xml:space="preserve">+1.44%</w:t>
      </w:r>
      <w:r>
        <w:t xml:space="preserve">。</w:t>
      </w:r>
    </w:p>
    <w:p>
      <w:pPr>
        <w:numPr>
          <w:ilvl w:val="0"/>
          <w:numId w:val="1011"/>
        </w:numPr>
        <w:pStyle w:val="Compact"/>
      </w:pPr>
      <w:r>
        <w:rPr>
          <w:b/>
        </w:rPr>
        <w:t xml:space="preserve">所属板块</w:t>
      </w:r>
      <w:r>
        <w:t xml:space="preserve">：新能源 / 光伏设备。</w:t>
      </w:r>
    </w:p>
    <w:p>
      <w:pPr>
        <w:numPr>
          <w:ilvl w:val="0"/>
          <w:numId w:val="1011"/>
        </w:numPr>
        <w:pStyle w:val="Compact"/>
      </w:pPr>
      <w:r>
        <w:rPr>
          <w:b/>
        </w:rPr>
        <w:t xml:space="preserve">与主线共振</w:t>
      </w:r>
      <w:r>
        <w:t xml:space="preserve">：共振较弱。今日市场核心在 AI 算力与半导体，光伏板块仅呈现温和跟随反弹，缺乏主力强资金做多。</w:t>
      </w:r>
    </w:p>
    <w:p>
      <w:pPr>
        <w:numPr>
          <w:ilvl w:val="0"/>
          <w:numId w:val="1011"/>
        </w:numPr>
        <w:pStyle w:val="Compact"/>
      </w:pPr>
      <w:r>
        <w:rPr>
          <w:b/>
        </w:rPr>
        <w:t xml:space="preserve">观察结论</w:t>
      </w:r>
      <w:r>
        <w:t xml:space="preserve">：</w:t>
      </w:r>
      <w:r>
        <w:rPr>
          <w:b/>
        </w:rPr>
        <w:t xml:space="preserve">以跟踪为主、暂不作为主攻方向</w:t>
      </w:r>
      <w:r>
        <w:t xml:space="preserve">，持仓者防范冲高回撤，未建仓者不盲目追高。</w:t>
      </w:r>
    </w:p>
    <w:p>
      <w:pPr>
        <w:pStyle w:val="Heading3"/>
      </w:pPr>
      <w:bookmarkStart w:id="33" w:name="风语筑603466.sh"/>
      <w:r>
        <w:t xml:space="preserve">2. 风语筑（603466.SH）</w:t>
      </w:r>
      <w:bookmarkEnd w:id="33"/>
    </w:p>
    <w:p>
      <w:pPr>
        <w:numPr>
          <w:ilvl w:val="0"/>
          <w:numId w:val="1012"/>
        </w:numPr>
        <w:pStyle w:val="Compact"/>
      </w:pPr>
      <w:r>
        <w:rPr>
          <w:b/>
        </w:rPr>
        <w:t xml:space="preserve">最新表现</w:t>
      </w:r>
      <w:r>
        <w:t xml:space="preserve">：12.83 元，较前收盘 12.33 元上涨</w:t>
      </w:r>
      <w:r>
        <w:t xml:space="preserve"> </w:t>
      </w:r>
      <w:r>
        <w:rPr>
          <w:b/>
        </w:rPr>
        <w:t xml:space="preserve">+4.06%</w:t>
      </w:r>
      <w:r>
        <w:t xml:space="preserve">。</w:t>
      </w:r>
    </w:p>
    <w:p>
      <w:pPr>
        <w:numPr>
          <w:ilvl w:val="0"/>
          <w:numId w:val="1012"/>
        </w:numPr>
        <w:pStyle w:val="Compact"/>
      </w:pPr>
      <w:r>
        <w:rPr>
          <w:b/>
        </w:rPr>
        <w:t xml:space="preserve">所属板块</w:t>
      </w:r>
      <w:r>
        <w:t xml:space="preserve">：AI 应用 / 数字展示 / 文化科技。</w:t>
      </w:r>
    </w:p>
    <w:p>
      <w:pPr>
        <w:numPr>
          <w:ilvl w:val="0"/>
          <w:numId w:val="1012"/>
        </w:numPr>
        <w:pStyle w:val="Compact"/>
      </w:pPr>
      <w:r>
        <w:rPr>
          <w:b/>
        </w:rPr>
        <w:t xml:space="preserve">与主线共振</w:t>
      </w:r>
      <w:r>
        <w:t xml:space="preserve">：共振较强。受益于 AI 算力与应用大放异彩，股价呈现偏强震荡拉升态势。</w:t>
      </w:r>
    </w:p>
    <w:p>
      <w:pPr>
        <w:numPr>
          <w:ilvl w:val="0"/>
          <w:numId w:val="1012"/>
        </w:numPr>
        <w:pStyle w:val="Compact"/>
      </w:pPr>
      <w:r>
        <w:rPr>
          <w:b/>
        </w:rPr>
        <w:t xml:space="preserve">观察结论</w:t>
      </w:r>
      <w:r>
        <w:t xml:space="preserve">：</w:t>
      </w:r>
      <w:r>
        <w:rPr>
          <w:b/>
        </w:rPr>
        <w:t xml:space="preserve">偏强震荡，可低吸跟踪</w:t>
      </w:r>
      <w:r>
        <w:t xml:space="preserve">，关注午后是否跟涨封板，若遇阻可适当锁利润，不追高。</w:t>
      </w:r>
    </w:p>
    <w:p>
      <w:pPr>
        <w:pStyle w:val="Heading3"/>
      </w:pPr>
      <w:bookmarkStart w:id="34" w:name="工商银行601398.sh"/>
      <w:r>
        <w:t xml:space="preserve">3. 工商银行（601398.SH）</w:t>
      </w:r>
      <w:bookmarkEnd w:id="34"/>
    </w:p>
    <w:p>
      <w:pPr>
        <w:numPr>
          <w:ilvl w:val="0"/>
          <w:numId w:val="1013"/>
        </w:numPr>
        <w:pStyle w:val="Compact"/>
      </w:pPr>
      <w:r>
        <w:rPr>
          <w:b/>
        </w:rPr>
        <w:t xml:space="preserve">最新表现</w:t>
      </w:r>
      <w:r>
        <w:t xml:space="preserve">：8.08 元，较前收盘 8.13 元下跌</w:t>
      </w:r>
      <w:r>
        <w:t xml:space="preserve"> </w:t>
      </w:r>
      <w:r>
        <w:rPr>
          <w:b/>
        </w:rPr>
        <w:t xml:space="preserve">-0.62%</w:t>
      </w:r>
      <w:r>
        <w:t xml:space="preserve">。</w:t>
      </w:r>
    </w:p>
    <w:p>
      <w:pPr>
        <w:numPr>
          <w:ilvl w:val="0"/>
          <w:numId w:val="1013"/>
        </w:numPr>
        <w:pStyle w:val="Compact"/>
      </w:pPr>
      <w:r>
        <w:rPr>
          <w:b/>
        </w:rPr>
        <w:t xml:space="preserve">所属板块</w:t>
      </w:r>
      <w:r>
        <w:t xml:space="preserve">：大金融 / 银行 / 高股息防御。</w:t>
      </w:r>
    </w:p>
    <w:p>
      <w:pPr>
        <w:numPr>
          <w:ilvl w:val="0"/>
          <w:numId w:val="1013"/>
        </w:numPr>
        <w:pStyle w:val="Compact"/>
      </w:pPr>
      <w:r>
        <w:rPr>
          <w:b/>
        </w:rPr>
        <w:t xml:space="preserve">与主线共振</w:t>
      </w:r>
      <w:r>
        <w:t xml:space="preserve">：负共振（跷跷板效应）。科技进攻风格大涨时，资金从防御性大银行板块流出。</w:t>
      </w:r>
    </w:p>
    <w:p>
      <w:pPr>
        <w:numPr>
          <w:ilvl w:val="0"/>
          <w:numId w:val="1013"/>
        </w:numPr>
        <w:pStyle w:val="Compact"/>
      </w:pPr>
      <w:r>
        <w:rPr>
          <w:b/>
        </w:rPr>
        <w:t xml:space="preserve">观察结论</w:t>
      </w:r>
      <w:r>
        <w:t xml:space="preserve">：</w:t>
      </w:r>
      <w:r>
        <w:rPr>
          <w:b/>
        </w:rPr>
        <w:t xml:space="preserve">偏弱震荡，防守属性，以跟踪为主、暂不作为主攻方向</w:t>
      </w:r>
      <w:r>
        <w:t xml:space="preserve">。长线持仓可继续锁仓观察支撑。</w:t>
      </w:r>
    </w:p>
    <w:p>
      <w:pPr>
        <w:pStyle w:val="FirstParagraph"/>
      </w:pPr>
      <w:r>
        <w:rPr>
          <w:i/>
        </w:rPr>
        <w:t xml:space="preserve">(注：自选股样本共 3 只，已完成 100% 逐只覆盖分析。)</w:t>
      </w:r>
    </w:p>
    <w:p>
      <w:r>
        <w:pict>
          <v:rect style="width:0;height:1.5pt" o:hralign="center" o:hrstd="t" o:hr="t"/>
        </w:pict>
      </w:r>
    </w:p>
    <w:p>
      <w:pPr>
        <w:pStyle w:val="BlockText"/>
      </w:pPr>
      <w:r>
        <w:t xml:space="preserve">📊 生成时间：2026-09-16 11:45（北京时间，Asia/Shanghai）</w:t>
      </w:r>
      <w:r>
        <w:t xml:space="preserve"> </w:t>
      </w:r>
      <w:r>
        <w:t xml:space="preserve">🔮 by：先知 v1.0.3 — 周先生出品</w:t>
      </w:r>
      <w:r>
        <w:t xml:space="preserve"> </w:t>
      </w:r>
      <w:r>
        <w:t xml:space="preserve">🔵 数据采集模型：local-python</w:t>
      </w:r>
      <w:r>
        <w:t xml:space="preserve"> </w:t>
      </w:r>
      <w:r>
        <w:t xml:space="preserve">🔴 分析+写稿模型：hermes</w:t>
      </w:r>
      <w:r>
        <w:t xml:space="preserve"> </w:t>
      </w:r>
      <w:r>
        <w:t xml:space="preserve">📄 文档生成：pandoc (markdown → docx)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1">
    <w:nsid w:val="ea454b4c"/>
    <w:multiLevelType w:val="multilevel"/>
    <w:lvl w:ilvl="0">
      <w:numFmt w:val="bullet"/>
      <w:lvlText w:val="•"/>
      <w:lvlJc w:val="left"/>
      <w:pPr>
        <w:tabs>
          <w:tab w:val="num" w:pos="0"/>
        </w:tabs>
        <w:ind w:left="480" w:hanging="480"/>
      </w:pPr>
    </w:lvl>
    <w:lvl w:ilvl="1">
      <w:numFmt w:val="bullet"/>
      <w:lvlText w:val="–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•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–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•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–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•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–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•"/>
      <w:lvlJc w:val="left"/>
      <w:pPr>
        <w:tabs>
          <w:tab w:val="num" w:pos="5760"/>
        </w:tabs>
        <w:ind w:left="6240" w:hanging="480"/>
      </w:pPr>
    </w:lvl>
  </w:abstractNum>
  <w:abstractNum w:abstractNumId="99411">
    <w:nsid w:val="71315dca"/>
    <w:multiLevelType w:val="multilevel"/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1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1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start w:val="1"/>
      <w:numFmt w:val="decimal"/>
      <w:lvlText w:val="%8."/>
      <w:lvlJc w:val="left"/>
      <w:pPr>
        <w:tabs>
          <w:tab w:val="num" w:pos="5040"/>
        </w:tabs>
        <w:ind w:left="5520" w:hanging="480"/>
      </w:pPr>
    </w:lvl>
    <w:lvl w:ilvl="8">
      <w:start w:val="1"/>
      <w:numFmt w:val="decimal"/>
      <w:lvlText w:val="%9.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spelling="clean" w:grammar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</w:style>
  <w:style w:type="paragraph" w:styleId="BodyText">
    <w:name w:val="Body Text"/>
    <w:basedOn w:val="Normal"/>
    <w:link w:val="BodyTextChar"/>
    <w:pPr>
      <w:spacing w:before="180" w:after="180"/>
    </w:pPr>
    <w:qFormat/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Subtitle">
    <w:name w:val="Subtitle"/>
    <w:basedOn w:val="Title"/>
    <w:next w:val="BodyText"/>
    <w:qFormat/>
    <w:pPr>
      <w:keepNext/>
      <w:keepLines/>
      <w:spacing w:before="240" w:after="240"/>
      <w:jc w:val="center"/>
    </w:pPr>
    <w:rPr>
      <w:sz w:val="30"/>
      <w:szCs w:val="30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">
    <w:name w:val="Abstract"/>
    <w:basedOn w:val="Normal"/>
    <w:next w:val="BodyText"/>
    <w:qFormat/>
    <w:pPr>
      <w:keepNext/>
      <w:keepLines/>
      <w:spacing w:before="3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Heading2">
    <w:name w:val="Heading 2"/>
    <w:basedOn w:val="Normal"/>
    <w:next w:val="BodyText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Heading3">
    <w:name w:val="Heading 3"/>
    <w:basedOn w:val="Normal"/>
    <w:next w:val="BodyText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Heading4">
    <w:name w:val="Heading 4"/>
    <w:basedOn w:val="Normal"/>
    <w:next w:val="BodyText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i/>
      <w:bCs/>
      <w:color w:val="4F81BD" w:themeColor="accent1"/>
      <w:sz w:val="24"/>
      <w:szCs w:val="24"/>
    </w:rPr>
  </w:style>
  <w:style w:type="paragraph" w:styleId="Heading5">
    <w:name w:val="Heading 5"/>
    <w:basedOn w:val="Normal"/>
    <w:next w:val="BodyText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Cs/>
      <w:color w:val="4F81BD" w:themeColor="accent1"/>
      <w:sz w:val="24"/>
      <w:szCs w:val="24"/>
    </w:rPr>
  </w:style>
  <w:style w:type="paragraph" w:styleId="Heading6">
    <w:name w:val="Heading 6"/>
    <w:basedOn w:val="Normal"/>
    <w:next w:val="BodyText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7">
    <w:name w:val="Heading 7"/>
    <w:basedOn w:val="Normal"/>
    <w:next w:val="BodyText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8">
    <w:name w:val="Heading 8"/>
    <w:basedOn w:val="Normal"/>
    <w:next w:val="BodyText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9">
    <w:name w:val="Heading 9"/>
    <w:basedOn w:val="Normal"/>
    <w:next w:val="BodyText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
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2026-09-16T03:49:22Z</dcterms:created>
  <dcterms:modified xsi:type="dcterms:W3CDTF">2026-09-16T03:49:22Z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