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午盘总结-2026-09-14周一"/>
      <w:r>
        <w:t xml:space="preserve">🕐 午盘总结 | 2026-09-14（周一）</w:t>
      </w:r>
      <w:bookmarkEnd w:id="20"/>
    </w:p>
    <w:p>
      <w:pPr>
        <w:pStyle w:val="BlockText"/>
      </w:pPr>
      <w:r>
        <w:t xml:space="preserve">📊 核心判断：上午呈</w:t>
      </w:r>
      <w:r>
        <w:t xml:space="preserve">“</w:t>
      </w:r>
      <w:r>
        <w:t xml:space="preserve">沪强深弱、个股涨多跌少、题材轮动快</w:t>
      </w:r>
      <w:r>
        <w:t xml:space="preserve">”</w:t>
      </w:r>
      <w:r>
        <w:t xml:space="preserve">格局。上证指数微涨0.16%，深证成指与创业板指分别下跌0.25%、0.47%；同花顺单源显示上涨3576家、下跌1797家。全市场半日成交额11139.06亿元，但成交额比较口径为</w:t>
      </w:r>
      <w:r>
        <w:rPr>
          <w:rStyle w:val="VerbatimChar"/>
        </w:rPr>
        <w:t xml:space="preserve">unverified</w:t>
      </w:r>
      <w:r>
        <w:t xml:space="preserve">，不能据此得出同比例缩量结论。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1" w:name="上午行情概览"/>
      <w:r>
        <w:t xml:space="preserve">📊 上午行情概览</w:t>
      </w:r>
      <w:bookmarkEnd w:id="21"/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指数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right"/>
            </w:pPr>
            <w:r>
              <w:t xml:space="preserve">午间点位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right"/>
            </w:pPr>
            <w:r>
              <w:t xml:space="preserve">涨跌幅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多源校验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上证指数</w:t>
            </w:r>
          </w:p>
        </w:tc>
        <w:tc>
          <w:p>
            <w:pPr>
              <w:pStyle w:val="Compact"/>
              <w:jc w:val="right"/>
            </w:pPr>
            <w:r>
              <w:t xml:space="preserve">3894.28</w:t>
            </w:r>
          </w:p>
        </w:tc>
        <w:tc>
          <w:p>
            <w:pPr>
              <w:pStyle w:val="Compact"/>
              <w:jc w:val="right"/>
            </w:pPr>
            <w:r>
              <w:t xml:space="preserve">📈 +0.16%</w:t>
            </w:r>
          </w:p>
        </w:tc>
        <w:tc>
          <w:p>
            <w:pPr>
              <w:pStyle w:val="Compact"/>
              <w:jc w:val="left"/>
            </w:pPr>
            <w:r>
              <w:t xml:space="preserve">新浪/东财/腾讯一致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深证成指</w:t>
            </w:r>
          </w:p>
        </w:tc>
        <w:tc>
          <w:p>
            <w:pPr>
              <w:pStyle w:val="Compact"/>
              <w:jc w:val="right"/>
            </w:pPr>
            <w:r>
              <w:t xml:space="preserve">13436.92</w:t>
            </w:r>
          </w:p>
        </w:tc>
        <w:tc>
          <w:p>
            <w:pPr>
              <w:pStyle w:val="Compact"/>
              <w:jc w:val="right"/>
            </w:pPr>
            <w:r>
              <w:t xml:space="preserve">📉 -0.25%</w:t>
            </w:r>
          </w:p>
        </w:tc>
        <w:tc>
          <w:p>
            <w:pPr>
              <w:pStyle w:val="Compact"/>
              <w:jc w:val="left"/>
            </w:pPr>
            <w:r>
              <w:t xml:space="preserve">新浪/东财/腾讯一致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创业板指</w:t>
            </w:r>
          </w:p>
        </w:tc>
        <w:tc>
          <w:p>
            <w:pPr>
              <w:pStyle w:val="Compact"/>
              <w:jc w:val="right"/>
            </w:pPr>
            <w:r>
              <w:t xml:space="preserve">3306.36</w:t>
            </w:r>
          </w:p>
        </w:tc>
        <w:tc>
          <w:p>
            <w:pPr>
              <w:pStyle w:val="Compact"/>
              <w:jc w:val="right"/>
            </w:pPr>
            <w:r>
              <w:t xml:space="preserve">📉 -0.47%</w:t>
            </w:r>
          </w:p>
        </w:tc>
        <w:tc>
          <w:p>
            <w:pPr>
              <w:pStyle w:val="Compact"/>
              <w:jc w:val="left"/>
            </w:pPr>
            <w:r>
              <w:t xml:space="preserve">新浪/东财/腾讯一致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科创50</w:t>
            </w:r>
          </w:p>
        </w:tc>
        <w:tc>
          <w:p>
            <w:pPr>
              <w:pStyle w:val="Compact"/>
              <w:jc w:val="right"/>
            </w:pPr>
            <w:r>
              <w:t xml:space="preserve">1538.84</w:t>
            </w:r>
          </w:p>
        </w:tc>
        <w:tc>
          <w:p>
            <w:pPr>
              <w:pStyle w:val="Compact"/>
              <w:jc w:val="right"/>
            </w:pPr>
            <w:r>
              <w:t xml:space="preserve">📉 -0.94%</w:t>
            </w:r>
          </w:p>
        </w:tc>
        <w:tc>
          <w:p>
            <w:pPr>
              <w:pStyle w:val="Compact"/>
              <w:jc w:val="left"/>
            </w:pPr>
            <w:r>
              <w:t xml:space="preserve">新浪/东财/腾讯一致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沪深300</w:t>
            </w:r>
          </w:p>
        </w:tc>
        <w:tc>
          <w:p>
            <w:pPr>
              <w:pStyle w:val="Compact"/>
              <w:jc w:val="right"/>
            </w:pPr>
            <w:r>
              <w:t xml:space="preserve">4495.92</w:t>
            </w:r>
          </w:p>
        </w:tc>
        <w:tc>
          <w:p>
            <w:pPr>
              <w:pStyle w:val="Compact"/>
              <w:jc w:val="right"/>
            </w:pPr>
            <w:r>
              <w:t xml:space="preserve">📉 -0.32%</w:t>
            </w:r>
          </w:p>
        </w:tc>
        <w:tc>
          <w:p>
            <w:pPr>
              <w:pStyle w:val="Compact"/>
              <w:jc w:val="left"/>
            </w:pPr>
            <w:r>
              <w:t xml:space="preserve">新浪/东财/腾讯一致</w:t>
            </w:r>
          </w:p>
        </w:tc>
      </w:tr>
    </w:tbl>
    <w:p>
      <w:pPr>
        <w:numPr>
          <w:ilvl w:val="0"/>
          <w:numId w:val="1001"/>
        </w:numPr>
        <w:pStyle w:val="Compact"/>
      </w:pPr>
      <w:r>
        <w:t xml:space="preserve">💰 同花顺单源确认全市场半日成交额11139.06亿元；其</w:t>
      </w:r>
      <w:r>
        <w:t xml:space="preserve">“</w:t>
      </w:r>
      <w:r>
        <w:t xml:space="preserve">昨日成交额</w:t>
      </w:r>
      <w:r>
        <w:t xml:space="preserve">”</w:t>
      </w:r>
      <w:r>
        <w:t xml:space="preserve">原始值为19869.53亿元，比较口径未核验，因此不计算变化百分比，也不把两者直接解释为同期缩量。</w:t>
      </w:r>
    </w:p>
    <w:p>
      <w:pPr>
        <w:numPr>
          <w:ilvl w:val="0"/>
          <w:numId w:val="1001"/>
        </w:numPr>
        <w:pStyle w:val="Compact"/>
      </w:pPr>
      <w:r>
        <w:t xml:space="preserve">🟢 同花顺单源显示上涨3576家、下跌1797家、平盘177家、停牌12家；涨停50家、跌停9家。</w:t>
      </w:r>
    </w:p>
    <w:p>
      <w:pPr>
        <w:numPr>
          <w:ilvl w:val="0"/>
          <w:numId w:val="1001"/>
        </w:numPr>
        <w:pStyle w:val="Compact"/>
      </w:pPr>
      <w:r>
        <w:t xml:space="preserve">🎭 一句话盘面：指数权重承压而多数个股修复，市场风格为</w:t>
      </w:r>
      <w:r>
        <w:rPr>
          <w:rStyle w:val="VerbatimChar"/>
        </w:rPr>
        <w:t xml:space="preserve">震荡/均衡</w:t>
      </w:r>
      <w:r>
        <w:t xml:space="preserve">，题材高低切换快，赚钱效应好于指数表现。</w:t>
      </w:r>
    </w:p>
    <w:p>
      <w:pPr>
        <w:numPr>
          <w:ilvl w:val="0"/>
          <w:numId w:val="1001"/>
        </w:numPr>
        <w:pStyle w:val="Compact"/>
      </w:pPr>
      <w:r>
        <w:t xml:space="preserve">⚠️ 东方财富涨跌家数源返回HTTP 502，广度只能采用同花顺单源；指数行情已由三源交叉验证。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2" w:name="领涨板块-top10-与龙头线索"/>
      <w:r>
        <w:t xml:space="preserve">🔥 领涨板块 TOP10 与龙头线索</w:t>
      </w:r>
      <w:bookmarkEnd w:id="22"/>
    </w:p>
    <w:p>
      <w:pPr>
        <w:numPr>
          <w:ilvl w:val="0"/>
          <w:numId w:val="1002"/>
        </w:numPr>
        <w:pStyle w:val="Compact"/>
      </w:pPr>
      <w:r>
        <w:t xml:space="preserve">⚠️</w:t>
      </w:r>
      <w:r>
        <w:t xml:space="preserve"> </w:t>
      </w:r>
      <w:r>
        <w:rPr>
          <w:rStyle w:val="VerbatimChar"/>
        </w:rPr>
        <w:t xml:space="preserve">sector_performance</w:t>
      </w:r>
      <w:r>
        <w:t xml:space="preserve">返回HTTP 502，完整领涨板块TOP10未核验；以下仅列华泰</w:t>
      </w:r>
      <w:r>
        <w:rPr>
          <w:rStyle w:val="VerbatimChar"/>
        </w:rPr>
        <w:t xml:space="preserve">query_indicator</w:t>
      </w:r>
      <w:r>
        <w:t xml:space="preserve">与</w:t>
      </w:r>
      <w:r>
        <w:rPr>
          <w:rStyle w:val="VerbatimChar"/>
        </w:rPr>
        <w:t xml:space="preserve">market_insight</w:t>
      </w:r>
      <w:r>
        <w:t xml:space="preserve">提供的方向线索，不补齐名次、不冒充完整榜单。</w:t>
      </w:r>
    </w:p>
    <w:p>
      <w:pPr>
        <w:numPr>
          <w:ilvl w:val="0"/>
          <w:numId w:val="1002"/>
        </w:numPr>
        <w:pStyle w:val="Compact"/>
      </w:pPr>
      <w:r>
        <w:t xml:space="preserve">🔥 培育钻石/超硬材料：华泰文本称英诺激光涨超15%，恒盛能源、黄河旋风涨停；逻辑指向AI芯片散热材料，但本地板块涨幅、成交额和资金流缺失，午后只观察持续性。</w:t>
      </w:r>
    </w:p>
    <w:p>
      <w:pPr>
        <w:numPr>
          <w:ilvl w:val="0"/>
          <w:numId w:val="1002"/>
        </w:numPr>
        <w:pStyle w:val="Compact"/>
      </w:pPr>
      <w:r>
        <w:t xml:space="preserve">📈 CRO/创新药/医疗服务：华泰文本称万邦医药、近岸蛋白20cm涨停，义翘神州涨超10%；</w:t>
      </w:r>
      <w:r>
        <w:rPr>
          <w:rStyle w:val="VerbatimChar"/>
        </w:rPr>
        <w:t xml:space="preserve">market_insight</w:t>
      </w:r>
      <w:r>
        <w:t xml:space="preserve">给出创新药板块涨2.68%，但该数值未获本地结构化源复核。</w:t>
      </w:r>
    </w:p>
    <w:p>
      <w:pPr>
        <w:numPr>
          <w:ilvl w:val="0"/>
          <w:numId w:val="1002"/>
        </w:numPr>
        <w:pStyle w:val="Compact"/>
      </w:pPr>
      <w:r>
        <w:t xml:space="preserve">📈 PCB/MLCC：华泰文本称双星新材、康达新材涨停，超声电子6天4板，中京电子封板；华泰选股样本进一步给出满坤科技、双星新材、超声电子、中京电子的真实行情和净流入数据。</w:t>
      </w:r>
    </w:p>
    <w:p>
      <w:pPr>
        <w:numPr>
          <w:ilvl w:val="0"/>
          <w:numId w:val="1002"/>
        </w:numPr>
        <w:pStyle w:val="Compact"/>
      </w:pPr>
      <w:r>
        <w:t xml:space="preserve">🚀 电力/绿电：华泰文本称闽东电力4连板、豫能控股涨停，驱动线索为算电协同、绿电直连与源网荷储；本地板块榜单缺失，暂不能确认全板块扩散强度。</w:t>
      </w:r>
    </w:p>
    <w:p>
      <w:pPr>
        <w:numPr>
          <w:ilvl w:val="0"/>
          <w:numId w:val="1002"/>
        </w:numPr>
        <w:pStyle w:val="Compact"/>
      </w:pPr>
      <w:r>
        <w:t xml:space="preserve">🌐 网络安全：华泰文本称中新赛克3连板、永信至诚20cm涨停，天融信、安恒信息跟涨；资金与板块成交额未核验，只能列为事件型观察方向。</w:t>
      </w:r>
    </w:p>
    <w:p>
      <w:pPr>
        <w:pStyle w:val="Heading3"/>
      </w:pPr>
      <w:bookmarkStart w:id="23" w:name="可核验的华泰活跃股样本"/>
      <w:r>
        <w:t xml:space="preserve">🔥 可核验的华泰活跃股样本</w:t>
      </w:r>
      <w:bookmarkEnd w:id="23"/>
    </w:p>
    <w:p>
      <w:pPr>
        <w:numPr>
          <w:ilvl w:val="0"/>
          <w:numId w:val="1003"/>
        </w:numPr>
        <w:pStyle w:val="Compact"/>
      </w:pPr>
      <w:r>
        <w:t xml:space="preserve">301132 满坤科技：58.37元，涨20.00%，主力净流入8774.93万元；PCB方向高弹性样本，午后不追高。</w:t>
      </w:r>
    </w:p>
    <w:p>
      <w:pPr>
        <w:numPr>
          <w:ilvl w:val="0"/>
          <w:numId w:val="1003"/>
        </w:numPr>
        <w:pStyle w:val="Compact"/>
      </w:pPr>
      <w:r>
        <w:t xml:space="preserve">688813 泰金新能：145.11元，涨14.70%，主力净流入9594.24万元；具体板块共振因本地行业榜单缺失而未核验。</w:t>
      </w:r>
    </w:p>
    <w:p>
      <w:pPr>
        <w:numPr>
          <w:ilvl w:val="0"/>
          <w:numId w:val="1003"/>
        </w:numPr>
        <w:pStyle w:val="Compact"/>
      </w:pPr>
      <w:r>
        <w:t xml:space="preserve">301297 富乐德：48.00元，涨10.78%，主力净流入1.70亿元；半导体相关方向，需防科技权重继续承压。</w:t>
      </w:r>
    </w:p>
    <w:p>
      <w:pPr>
        <w:numPr>
          <w:ilvl w:val="0"/>
          <w:numId w:val="1003"/>
        </w:numPr>
        <w:pStyle w:val="Compact"/>
      </w:pPr>
      <w:r>
        <w:t xml:space="preserve">002172 澳洋健康：5.02元，涨10.09%，主力净流入2.28亿元；医疗健康线活跃样本。</w:t>
      </w:r>
    </w:p>
    <w:p>
      <w:pPr>
        <w:numPr>
          <w:ilvl w:val="0"/>
          <w:numId w:val="1003"/>
        </w:numPr>
        <w:pStyle w:val="Compact"/>
      </w:pPr>
      <w:r>
        <w:t xml:space="preserve">002585 双星新材：10.96元，涨10.04%，主力净流入1.51亿元；PCB/材料线涨停样本。</w:t>
      </w:r>
    </w:p>
    <w:p>
      <w:pPr>
        <w:numPr>
          <w:ilvl w:val="0"/>
          <w:numId w:val="1003"/>
        </w:numPr>
        <w:pStyle w:val="Compact"/>
      </w:pPr>
      <w:r>
        <w:t xml:space="preserve">000978 桂林旅游：10.86元，涨10.03%，主力净流入2.47亿元；旅游方向孤立强势的可能性尚未排除。</w:t>
      </w:r>
    </w:p>
    <w:p>
      <w:pPr>
        <w:numPr>
          <w:ilvl w:val="0"/>
          <w:numId w:val="1003"/>
        </w:numPr>
        <w:pStyle w:val="Compact"/>
      </w:pPr>
      <w:r>
        <w:t xml:space="preserve">000823 超声电子：22.63元，涨10.01%，主力净流入3.84亿元；PCB高辨识度样本。</w:t>
      </w:r>
    </w:p>
    <w:p>
      <w:pPr>
        <w:numPr>
          <w:ilvl w:val="0"/>
          <w:numId w:val="1003"/>
        </w:numPr>
        <w:pStyle w:val="Compact"/>
      </w:pPr>
      <w:r>
        <w:t xml:space="preserve">000993 闽东电力：15.27元，涨10.01%，主力净流入3161.27万元；绿电连板辨识度高，但净流入规模低于多只样本。</w:t>
      </w:r>
    </w:p>
    <w:p>
      <w:pPr>
        <w:numPr>
          <w:ilvl w:val="0"/>
          <w:numId w:val="1003"/>
        </w:numPr>
        <w:pStyle w:val="Compact"/>
      </w:pPr>
      <w:r>
        <w:t xml:space="preserve">002579 中京电子：18.79元，涨10.01%，主力净流入4.82亿元；本组净流入最高，PCB资金辨识度突出。</w:t>
      </w:r>
    </w:p>
    <w:p>
      <w:pPr>
        <w:numPr>
          <w:ilvl w:val="0"/>
          <w:numId w:val="1003"/>
        </w:numPr>
        <w:pStyle w:val="Compact"/>
      </w:pPr>
      <w:r>
        <w:t xml:space="preserve">002552 宝鼎科技：55.00元，涨10.00%，主力净流入2.92亿元；所属方向与板块共振未获本地数据复核。</w:t>
      </w:r>
    </w:p>
    <w:p>
      <w:pPr>
        <w:pStyle w:val="BlockText"/>
      </w:pPr>
      <w:r>
        <w:t xml:space="preserve">⚠️ 上述10只是华泰条件筛选结果，不等同于全市场主力净流入绝对排名TOP10；核心个股的新浪/东财/腾讯交叉行情源本轮失败，个股判断保持中等以下置信度。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4" w:name="资金流向"/>
      <w:r>
        <w:t xml:space="preserve">💰 资金流向</w:t>
      </w:r>
      <w:bookmarkEnd w:id="24"/>
    </w:p>
    <w:p>
      <w:pPr>
        <w:pStyle w:val="Heading3"/>
      </w:pPr>
      <w:bookmarkStart w:id="25" w:name="主力净流入-top10"/>
      <w:r>
        <w:t xml:space="preserve">💰 主力净流入 TOP10</w:t>
      </w:r>
      <w:bookmarkEnd w:id="25"/>
    </w:p>
    <w:p>
      <w:pPr>
        <w:numPr>
          <w:ilvl w:val="0"/>
          <w:numId w:val="1004"/>
        </w:numPr>
        <w:pStyle w:val="Compact"/>
      </w:pPr>
      <w:r>
        <w:t xml:space="preserve">⚠️ 东方财富</w:t>
      </w:r>
      <w:r>
        <w:rPr>
          <w:rStyle w:val="VerbatimChar"/>
        </w:rPr>
        <w:t xml:space="preserve">money_flow</w:t>
      </w:r>
      <w:r>
        <w:t xml:space="preserve">返回HTTP 502，板块及全市场股票主力净流入TOP10均未核验，禁止沿用盘前简报中的昨日榜单充当今日午盘数据。</w:t>
      </w:r>
    </w:p>
    <w:p>
      <w:pPr>
        <w:numPr>
          <w:ilvl w:val="0"/>
          <w:numId w:val="1004"/>
        </w:numPr>
        <w:pStyle w:val="Compact"/>
      </w:pPr>
      <w:r>
        <w:t xml:space="preserve">📊 本轮唯一完整的10项资金样本来自华泰</w:t>
      </w:r>
      <w:r>
        <w:rPr>
          <w:rStyle w:val="VerbatimChar"/>
        </w:rPr>
        <w:t xml:space="preserve">select_stock</w:t>
      </w:r>
      <w:r>
        <w:t xml:space="preserve">，且带有</w:t>
      </w:r>
      <w:r>
        <w:t xml:space="preserve">“</w:t>
      </w:r>
      <w:r>
        <w:t xml:space="preserve">主力净流入排名前10%+涨幅排名前10%+活跃股</w:t>
      </w:r>
      <w:r>
        <w:t xml:space="preserve">”</w:t>
      </w:r>
      <w:r>
        <w:t xml:space="preserve">筛选条件：中京电子+4.82亿元、超声电子+3.84亿元、宝鼎科技+2.92亿元、桂林旅游+2.47亿元、澳洋健康+2.28亿元、富乐德+1.70亿元、双星新材+1.51亿元、泰金新能+9594.24万元、满坤科技+8774.93万元、闽东电力+3161.27万元。</w:t>
      </w:r>
    </w:p>
    <w:p>
      <w:pPr>
        <w:numPr>
          <w:ilvl w:val="0"/>
          <w:numId w:val="1004"/>
        </w:numPr>
        <w:pStyle w:val="Compact"/>
      </w:pPr>
      <w:r>
        <w:t xml:space="preserve">🔥 样本中PCB链的中京电子、超声电子、满坤科技、双星新材同时出现，说明该方向在华泰样本内形成较强聚集，但不能外推为全市场板块净流入第一。</w:t>
      </w:r>
    </w:p>
    <w:p>
      <w:pPr>
        <w:pStyle w:val="Heading3"/>
      </w:pPr>
      <w:bookmarkStart w:id="26" w:name="主力净流出-top10"/>
      <w:r>
        <w:t xml:space="preserve">⚠️ 主力净流出 TOP10</w:t>
      </w:r>
      <w:bookmarkEnd w:id="26"/>
    </w:p>
    <w:p>
      <w:pPr>
        <w:numPr>
          <w:ilvl w:val="0"/>
          <w:numId w:val="1005"/>
        </w:numPr>
        <w:pStyle w:val="Compact"/>
      </w:pPr>
      <w:r>
        <w:t xml:space="preserve">🚫 今日午盘主力净流出TOP10未核验：</w:t>
      </w:r>
      <w:r>
        <w:rPr>
          <w:rStyle w:val="VerbatimChar"/>
        </w:rPr>
        <w:t xml:space="preserve">money_flow.ok=false</w:t>
      </w:r>
      <w:r>
        <w:t xml:space="preserve">，华泰补充结果也未返回完整流出榜单。</w:t>
      </w:r>
    </w:p>
    <w:p>
      <w:pPr>
        <w:numPr>
          <w:ilvl w:val="0"/>
          <w:numId w:val="1005"/>
        </w:numPr>
        <w:pStyle w:val="Compact"/>
      </w:pPr>
      <w:r>
        <w:t xml:space="preserve">🚫 不用昨日电子、半导体、有色金属等流出数据冒充今日午盘事实，也不根据华泰文字中的</w:t>
      </w:r>
      <w:r>
        <w:t xml:space="preserve">“</w:t>
      </w:r>
      <w:r>
        <w:t xml:space="preserve">高位股流出</w:t>
      </w:r>
      <w:r>
        <w:t xml:space="preserve">”</w:t>
      </w:r>
      <w:r>
        <w:t xml:space="preserve">自行编造金额。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7" w:name="资金流出预警"/>
      <w:r>
        <w:t xml:space="preserve">⚠️ 资金流出预警</w:t>
      </w:r>
      <w:bookmarkEnd w:id="27"/>
    </w:p>
    <w:p>
      <w:pPr>
        <w:numPr>
          <w:ilvl w:val="0"/>
          <w:numId w:val="1006"/>
        </w:numPr>
        <w:pStyle w:val="Compact"/>
      </w:pPr>
      <w:r>
        <w:t xml:space="preserve">📉 高位人气股：华泰文本指出龙版传媒、新农开发、敦煌种业跌停，属于高位兑现与高低切换风险线索；完整跌停样本源缺失，不能据此推导全市场退潮规模。</w:t>
      </w:r>
    </w:p>
    <w:p>
      <w:pPr>
        <w:numPr>
          <w:ilvl w:val="0"/>
          <w:numId w:val="1006"/>
        </w:numPr>
        <w:pStyle w:val="Compact"/>
      </w:pPr>
      <w:r>
        <w:t xml:space="preserve">📉 农业种植：华泰文本称中粮科技领跌、粮食与玉米方向集体下挫；板块跌幅和净流出金额未核验，下午以回避为主。</w:t>
      </w:r>
    </w:p>
    <w:p>
      <w:pPr>
        <w:numPr>
          <w:ilvl w:val="0"/>
          <w:numId w:val="1006"/>
        </w:numPr>
        <w:pStyle w:val="Compact"/>
      </w:pPr>
      <w:r>
        <w:t xml:space="preserve">📉 国防军工：华泰文本称长城军工领跌，航天航空、航海装备回调；这与盘前</w:t>
      </w:r>
      <w:r>
        <w:t xml:space="preserve">“</w:t>
      </w:r>
      <w:r>
        <w:t xml:space="preserve">地面兵装中优先级</w:t>
      </w:r>
      <w:r>
        <w:t xml:space="preserve">”</w:t>
      </w:r>
      <w:r>
        <w:t xml:space="preserve">预案出现偏差，应降低军工方向优先级。</w:t>
      </w:r>
    </w:p>
    <w:p>
      <w:pPr>
        <w:numPr>
          <w:ilvl w:val="0"/>
          <w:numId w:val="1006"/>
        </w:numPr>
        <w:pStyle w:val="Compact"/>
      </w:pPr>
      <w:r>
        <w:t xml:space="preserve">📉 科技权重：科创50下跌0.94%，创业板指下跌0.47%；华泰文本同时提示游戏传媒、半导体芯片、通信设备、CPO承压，说明科技内部是PCB局部活跃而非全面走强。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8" w:name="盘前预判-vs-上午实盘"/>
      <w:r>
        <w:t xml:space="preserve">🎯 盘前预判 vs 上午实盘</w:t>
      </w:r>
      <w:bookmarkEnd w:id="28"/>
    </w:p>
    <w:p>
      <w:pPr>
        <w:pStyle w:val="Heading3"/>
      </w:pPr>
      <w:bookmarkStart w:id="29" w:name="命中点"/>
      <w:r>
        <w:t xml:space="preserve">✅ 命中点</w:t>
      </w:r>
      <w:bookmarkEnd w:id="29"/>
    </w:p>
    <w:p>
      <w:pPr>
        <w:numPr>
          <w:ilvl w:val="0"/>
          <w:numId w:val="1007"/>
        </w:numPr>
        <w:pStyle w:val="Compact"/>
      </w:pPr>
      <w:r>
        <w:t xml:space="preserve">🛡️</w:t>
      </w:r>
      <w:r>
        <w:t xml:space="preserve"> </w:t>
      </w:r>
      <w:r>
        <w:t xml:space="preserve">“</w:t>
      </w:r>
      <w:r>
        <w:t xml:space="preserve">先防守、等待确认</w:t>
      </w:r>
      <w:r>
        <w:t xml:space="preserve">”</w:t>
      </w:r>
      <w:r>
        <w:t xml:space="preserve">仍有效：上证仅涨0.16%，深证、创业板和科创50收跌，指数没有形成一致上攻。</w:t>
      </w:r>
    </w:p>
    <w:p>
      <w:pPr>
        <w:numPr>
          <w:ilvl w:val="0"/>
          <w:numId w:val="1007"/>
        </w:numPr>
        <w:pStyle w:val="Compact"/>
      </w:pPr>
      <w:r>
        <w:t xml:space="preserve">📈 PCB/元件方向获得验证：双星新材涨10.04%、超声电子涨10.01%、中京电子涨10.01%、满坤科技涨20.00%，且四只均进入华泰净流入活跃样本。</w:t>
      </w:r>
    </w:p>
    <w:p>
      <w:pPr>
        <w:numPr>
          <w:ilvl w:val="0"/>
          <w:numId w:val="1007"/>
        </w:numPr>
        <w:pStyle w:val="Compact"/>
      </w:pPr>
      <w:r>
        <w:t xml:space="preserve">🛡️ 工商银行防御属性得到验证：午间8.19元、涨0.99%，明显强于深证、创业板和科创50。</w:t>
      </w:r>
    </w:p>
    <w:p>
      <w:pPr>
        <w:numPr>
          <w:ilvl w:val="0"/>
          <w:numId w:val="1007"/>
        </w:numPr>
        <w:pStyle w:val="Compact"/>
      </w:pPr>
      <w:r>
        <w:t xml:space="preserve">⚠️</w:t>
      </w:r>
      <w:r>
        <w:t xml:space="preserve"> </w:t>
      </w:r>
      <w:r>
        <w:t xml:space="preserve">“</w:t>
      </w:r>
      <w:r>
        <w:t xml:space="preserve">不追一致性高开、高位纯情绪股</w:t>
      </w:r>
      <w:r>
        <w:t xml:space="preserve">”</w:t>
      </w:r>
      <w:r>
        <w:t xml:space="preserve">纪律有效：华泰文本显示多只高位人气股跌停，高低切换已出现。</w:t>
      </w:r>
    </w:p>
    <w:p>
      <w:pPr>
        <w:pStyle w:val="Heading3"/>
      </w:pPr>
      <w:bookmarkStart w:id="30" w:name="偏差点"/>
      <w:r>
        <w:t xml:space="preserve">❌ 偏差点</w:t>
      </w:r>
      <w:bookmarkEnd w:id="30"/>
    </w:p>
    <w:p>
      <w:pPr>
        <w:numPr>
          <w:ilvl w:val="0"/>
          <w:numId w:val="1008"/>
        </w:numPr>
        <w:pStyle w:val="Compact"/>
      </w:pPr>
      <w:r>
        <w:t xml:space="preserve">📉 盘前高优先级的AI算力—光通信未成为上午一致主攻线；华泰文本称CPO、通信设备承压，仅提到中际旭创、新易盛盘中获资金回流线索，缺少精确午盘报价和多源校验。</w:t>
      </w:r>
    </w:p>
    <w:p>
      <w:pPr>
        <w:numPr>
          <w:ilvl w:val="0"/>
          <w:numId w:val="1008"/>
        </w:numPr>
        <w:pStyle w:val="Compact"/>
      </w:pPr>
      <w:r>
        <w:t xml:space="preserve">📉 地面兵装/军工电子未延续：军工相关板块回调，盘前中优先级方向应降为回避追涨。</w:t>
      </w:r>
    </w:p>
    <w:p>
      <w:pPr>
        <w:numPr>
          <w:ilvl w:val="0"/>
          <w:numId w:val="1008"/>
        </w:numPr>
        <w:pStyle w:val="Compact"/>
      </w:pPr>
      <w:r>
        <w:t xml:space="preserve">🚀 上午新增主线线索来自培育钻石、CRO/创新药和电力，盘前未将其列为前三方向；但因本地资金流与板块榜单缺失，只能作为华泰单一补充来源线索。</w:t>
      </w:r>
    </w:p>
    <w:p>
      <w:pPr>
        <w:numPr>
          <w:ilvl w:val="0"/>
          <w:numId w:val="1008"/>
        </w:numPr>
        <w:pStyle w:val="Compact"/>
      </w:pPr>
      <w:r>
        <w:t xml:space="preserve">📊 沪指未站上盘前3900压力位，午间收于3894.28；下午仍需观察3900能否有效突破，而不能把上午翻红视为趋势反转。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31" w:name="华泰自选股观察"/>
      <w:r>
        <w:t xml:space="preserve">🧾 华泰自选股观察</w:t>
      </w:r>
      <w:bookmarkEnd w:id="31"/>
    </w:p>
    <w:p>
      <w:pPr>
        <w:pStyle w:val="FirstParagraph"/>
      </w:pPr>
      <w:r>
        <w:t xml:space="preserve">自选股3只行情全部取得：工商银行最强，弘元绿能微涨，风语筑回落。三者均未进入本轮华泰主力净流入活跃样本；整体以跟踪为主，暂不作为午后主攻方向。</w:t>
      </w:r>
    </w:p>
    <w:p>
      <w:pPr>
        <w:numPr>
          <w:ilvl w:val="0"/>
          <w:numId w:val="1009"/>
        </w:numPr>
        <w:pStyle w:val="Compact"/>
      </w:pPr>
      <w:r>
        <w:t xml:space="preserve">🟢 603185 弘元绿能：最新14.10元，较前收14.08元上涨0.14%；属光伏制造/硅片设备链，与上午电力、绿电政策线只有间接关系，与PCB、医药等活跃线不共振。结论：继续观察，偏弱修复，不无条件补仓；只有光伏板块资金转正且个股放量走强时才可低吸跟踪。</w:t>
      </w:r>
    </w:p>
    <w:p>
      <w:pPr>
        <w:numPr>
          <w:ilvl w:val="0"/>
          <w:numId w:val="1009"/>
        </w:numPr>
        <w:pStyle w:val="Compact"/>
      </w:pPr>
      <w:r>
        <w:t xml:space="preserve">📉 603466 风语筑：最新13.15元，较前收13.27元下跌0.90%；属数字展示/文化传媒，与盘前AI软件政策有映射，但上午强势线主要在PCB、医药、电力，主线共振不足。结论：偏弱、以跟踪为主，暂不作为主攻方向；未重新站回前收前不加仓。</w:t>
      </w:r>
    </w:p>
    <w:p>
      <w:pPr>
        <w:numPr>
          <w:ilvl w:val="0"/>
          <w:numId w:val="1009"/>
        </w:numPr>
        <w:pStyle w:val="Compact"/>
      </w:pPr>
      <w:r>
        <w:t xml:space="preserve">🔴 601398 工商银行：最新8.19元，较前收8.11元上涨0.99%；属银行高股息防御，与题材主线不共振，但在深创指数走弱时体现相对强度。结论：偏强、继续观察并可作为防御底仓，不追高；若银行板块转弱则停止加仓。</w:t>
      </w:r>
    </w:p>
    <w:p>
      <w:pPr>
        <w:pStyle w:val="BlockText"/>
      </w:pPr>
      <w:r>
        <w:t xml:space="preserve">⚠️ 三只行情来自华泰</w:t>
      </w:r>
      <w:r>
        <w:rPr>
          <w:rStyle w:val="VerbatimChar"/>
        </w:rPr>
        <w:t xml:space="preserve">paper_trading_quotes</w:t>
      </w:r>
      <w:r>
        <w:t xml:space="preserve">单一补充来源，股票交叉校验源本轮返回HTTP 502；农业银行不在本次华泰自选股报价样本内，午间价格未核验。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32" w:name="下午盘操作建议"/>
      <w:r>
        <w:t xml:space="preserve">🎯 下午盘操作建议</w:t>
      </w:r>
      <w:bookmarkEnd w:id="32"/>
    </w:p>
    <w:p>
      <w:pPr>
        <w:numPr>
          <w:ilvl w:val="0"/>
          <w:numId w:val="1010"/>
        </w:numPr>
        <w:pStyle w:val="Compact"/>
      </w:pPr>
      <w:r>
        <w:t xml:space="preserve">📊 市场判断：维持震荡/均衡。上涨家数占优但深创与科创指数偏弱，说明普涨修复和权重压力并存；沪指3900仍是下午第一观察位。</w:t>
      </w:r>
    </w:p>
    <w:p>
      <w:pPr>
        <w:numPr>
          <w:ilvl w:val="0"/>
          <w:numId w:val="1010"/>
        </w:numPr>
        <w:pStyle w:val="Compact"/>
      </w:pPr>
      <w:r>
        <w:t xml:space="preserve">💡 激进型：仓位上限60%。只参与PCB/MLCC强势股的分歧承接，不追20%或涨停板加速；任何参与都以板块强度延续、核心不炸板为前提。</w:t>
      </w:r>
    </w:p>
    <w:p>
      <w:pPr>
        <w:numPr>
          <w:ilvl w:val="0"/>
          <w:numId w:val="1010"/>
        </w:numPr>
        <w:pStyle w:val="Compact"/>
      </w:pPr>
      <w:r>
        <w:t xml:space="preserve">💡 稳健型：仓位上限45%。等待沪指站稳3900，并观察PCB、电力或医药中至少一个方向继续扩散，再选择低位、未加速的核心样本。</w:t>
      </w:r>
    </w:p>
    <w:p>
      <w:pPr>
        <w:numPr>
          <w:ilvl w:val="0"/>
          <w:numId w:val="1010"/>
        </w:numPr>
        <w:pStyle w:val="Compact"/>
      </w:pPr>
      <w:r>
        <w:t xml:space="preserve">💡 保守型：仓位上限30%。保留银行防御底仓，新增仓位等到下午指数与题材同步转强；成交比较口径未核验，不用</w:t>
      </w:r>
      <w:r>
        <w:t xml:space="preserve">“</w:t>
      </w:r>
      <w:r>
        <w:t xml:space="preserve">缩量/放量百分比</w:t>
      </w:r>
      <w:r>
        <w:t xml:space="preserve">”</w:t>
      </w:r>
      <w:r>
        <w:t xml:space="preserve">调整仓位。</w:t>
      </w:r>
    </w:p>
    <w:p>
      <w:pPr>
        <w:numPr>
          <w:ilvl w:val="0"/>
          <w:numId w:val="1010"/>
        </w:numPr>
        <w:pStyle w:val="Compact"/>
      </w:pPr>
      <w:r>
        <w:t xml:space="preserve">🚫 回避/减仓：农业种植、回调中的军工、高位连续加速股，以及缺少资金和成交验证的孤立涨停。</w:t>
      </w:r>
    </w:p>
    <w:p>
      <w:pPr>
        <w:numPr>
          <w:ilvl w:val="0"/>
          <w:numId w:val="1010"/>
        </w:numPr>
        <w:pStyle w:val="Compact"/>
      </w:pPr>
      <w:r>
        <w:t xml:space="preserve">⚠️ 风险：关键数据源覆盖3/7；资金流、板块排行、活跃股、涨跌停样本和个股交叉校验均缺失，方向判断置信度低于正常午盘报告。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33" w:name="下午投资方向分层"/>
      <w:r>
        <w:t xml:space="preserve">🎯 下午投资方向分层</w:t>
      </w:r>
      <w:bookmarkEnd w:id="33"/>
    </w:p>
    <w:p>
      <w:pPr>
        <w:pStyle w:val="Heading3"/>
      </w:pPr>
      <w:bookmarkStart w:id="34" w:name="可参与pcbmlcc印制电路板与电子元件优先级高"/>
      <w:r>
        <w:t xml:space="preserve">📈 可参与：PCB/MLCC—印制电路板与电子元件（优先级：高）</w:t>
      </w:r>
      <w:bookmarkEnd w:id="34"/>
    </w:p>
    <w:p>
      <w:pPr>
        <w:numPr>
          <w:ilvl w:val="0"/>
          <w:numId w:val="1011"/>
        </w:numPr>
        <w:pStyle w:val="Compact"/>
      </w:pPr>
      <w:r>
        <w:t xml:space="preserve">📌 证据链：华泰文本显示双星新材、康达新材、中京电子涨停及超声电子6天4板；华泰选股样本显示满坤科技涨20.00%、双星新材涨10.04%、超声电子和中京电子均涨10.01%；四只分别净流入8774.93万元、1.51亿元、3.84亿元、4.82亿元。</w:t>
      </w:r>
    </w:p>
    <w:p>
      <w:pPr>
        <w:numPr>
          <w:ilvl w:val="0"/>
          <w:numId w:val="1011"/>
        </w:numPr>
        <w:pStyle w:val="Compact"/>
      </w:pPr>
      <w:r>
        <w:t xml:space="preserve">🔥 核心标的：中京电子（本组净流入最高）、超声电子（连板辨识度线索）、满坤科技（涨幅最高）、双星新材（涨停与资金共振）。</w:t>
      </w:r>
    </w:p>
    <w:p>
      <w:pPr>
        <w:numPr>
          <w:ilvl w:val="0"/>
          <w:numId w:val="1011"/>
        </w:numPr>
        <w:pStyle w:val="Compact"/>
      </w:pPr>
      <w:r>
        <w:t xml:space="preserve">💡 参与策略：激进只做开板后的承接与回封；稳健等待午后板块仍有多股同步走强；保守只观察，不追涨停。</w:t>
      </w:r>
    </w:p>
    <w:p>
      <w:pPr>
        <w:numPr>
          <w:ilvl w:val="0"/>
          <w:numId w:val="1011"/>
        </w:numPr>
        <w:pStyle w:val="Compact"/>
      </w:pPr>
      <w:r>
        <w:t xml:space="preserve">✅ 触发条件：中京电子、超声电子至少一只保持强势，且四只样本中多数不出现快速开板回落。</w:t>
      </w:r>
    </w:p>
    <w:p>
      <w:pPr>
        <w:numPr>
          <w:ilvl w:val="0"/>
          <w:numId w:val="1011"/>
        </w:numPr>
        <w:pStyle w:val="Compact"/>
      </w:pPr>
      <w:r>
        <w:t xml:space="preserve">🚫 失效条件：核心股集中炸板、涨幅明显回落，或科技指数继续下探并拖累PCB样本。</w:t>
      </w:r>
    </w:p>
    <w:p>
      <w:pPr>
        <w:numPr>
          <w:ilvl w:val="0"/>
          <w:numId w:val="1011"/>
        </w:numPr>
        <w:pStyle w:val="Compact"/>
      </w:pPr>
      <w:r>
        <w:t xml:space="preserve">⚠️ 风险：板块涨幅、板块成交额及板块净流入均未获本地结构化源确认，当前证据集中于华泰单一补充来源。</w:t>
      </w:r>
    </w:p>
    <w:p>
      <w:pPr>
        <w:pStyle w:val="Heading3"/>
      </w:pPr>
      <w:bookmarkStart w:id="35" w:name="可参与但控制追高电力绿电直连算电协同优先级中"/>
      <w:r>
        <w:t xml:space="preserve">🚀 可参与但控制追高：电力—绿电直连/算电协同（优先级：中）</w:t>
      </w:r>
      <w:bookmarkEnd w:id="35"/>
    </w:p>
    <w:p>
      <w:pPr>
        <w:numPr>
          <w:ilvl w:val="0"/>
          <w:numId w:val="1012"/>
        </w:numPr>
        <w:pStyle w:val="Compact"/>
      </w:pPr>
      <w:r>
        <w:t xml:space="preserve">📌 证据链：华泰文本给出算电协同、绿电直连、源网荷储政策线索；闽东电力15.27元、涨10.01%、主力净流入3161.27万元；华泰文本称闽东电力4连板并有豫能控股涨停扩散。</w:t>
      </w:r>
    </w:p>
    <w:p>
      <w:pPr>
        <w:numPr>
          <w:ilvl w:val="0"/>
          <w:numId w:val="1012"/>
        </w:numPr>
        <w:pStyle w:val="Compact"/>
      </w:pPr>
      <w:r>
        <w:t xml:space="preserve">🔥 核心标的：闽东电力（连板辨识度）、豫能控股（扩散线索，精确报价未核验）；弘元绿能仅属光伏制造间接映射，不作为主攻标的。</w:t>
      </w:r>
    </w:p>
    <w:p>
      <w:pPr>
        <w:numPr>
          <w:ilvl w:val="0"/>
          <w:numId w:val="1012"/>
        </w:numPr>
        <w:pStyle w:val="Compact"/>
      </w:pPr>
      <w:r>
        <w:t xml:space="preserve">💡 参与策略：激进等闽东电力换手承接；稳健等待板块新增强势股；保守不参与连板股。</w:t>
      </w:r>
    </w:p>
    <w:p>
      <w:pPr>
        <w:numPr>
          <w:ilvl w:val="0"/>
          <w:numId w:val="1012"/>
        </w:numPr>
        <w:pStyle w:val="Compact"/>
      </w:pPr>
      <w:r>
        <w:t xml:space="preserve">✅ 触发条件：闽东电力不炸板，且电力方向继续出现至少一只强势补涨股。</w:t>
      </w:r>
    </w:p>
    <w:p>
      <w:pPr>
        <w:numPr>
          <w:ilvl w:val="0"/>
          <w:numId w:val="1012"/>
        </w:numPr>
        <w:pStyle w:val="Compact"/>
      </w:pPr>
      <w:r>
        <w:t xml:space="preserve">🚫 失效条件：闽东电力开板后不能回封，或板块仅剩单票维持。</w:t>
      </w:r>
    </w:p>
    <w:p>
      <w:pPr>
        <w:numPr>
          <w:ilvl w:val="0"/>
          <w:numId w:val="1012"/>
        </w:numPr>
        <w:pStyle w:val="Compact"/>
      </w:pPr>
      <w:r>
        <w:t xml:space="preserve">⚠️ 风险：闽东电力净流入规模仅3161.27万元，低于本轮多数华泰样本；高位连板兑现风险高。</w:t>
      </w:r>
    </w:p>
    <w:p>
      <w:pPr>
        <w:pStyle w:val="Heading3"/>
      </w:pPr>
      <w:bookmarkStart w:id="36" w:name="只观察cro创新药医疗服务优先级观察"/>
      <w:r>
        <w:t xml:space="preserve">📈 只观察：CRO/创新药—医疗服务（优先级：观察）</w:t>
      </w:r>
      <w:bookmarkEnd w:id="36"/>
    </w:p>
    <w:p>
      <w:pPr>
        <w:numPr>
          <w:ilvl w:val="0"/>
          <w:numId w:val="1013"/>
        </w:numPr>
        <w:pStyle w:val="Compact"/>
      </w:pPr>
      <w:r>
        <w:t xml:space="preserve">📌 证据链：华泰</w:t>
      </w:r>
      <w:r>
        <w:rPr>
          <w:rStyle w:val="VerbatimChar"/>
        </w:rPr>
        <w:t xml:space="preserve">market_insight</w:t>
      </w:r>
      <w:r>
        <w:t xml:space="preserve">称创新药板块涨2.68%；</w:t>
      </w:r>
      <w:r>
        <w:rPr>
          <w:rStyle w:val="VerbatimChar"/>
        </w:rPr>
        <w:t xml:space="preserve">query_indicator</w:t>
      </w:r>
      <w:r>
        <w:t xml:space="preserve">称万邦医药、近岸蛋白20cm涨停及义翘神州涨超10%；华泰选股样本显示澳洋健康5.02元、涨10.09%、净流入2.28亿元。</w:t>
      </w:r>
    </w:p>
    <w:p>
      <w:pPr>
        <w:numPr>
          <w:ilvl w:val="0"/>
          <w:numId w:val="1013"/>
        </w:numPr>
        <w:pStyle w:val="Compact"/>
      </w:pPr>
      <w:r>
        <w:t xml:space="preserve">🔥 核心标的：澳洋健康（可核验资金样本）、万邦医药、近岸蛋白（涨停线索，精确金额未核验）。</w:t>
      </w:r>
    </w:p>
    <w:p>
      <w:pPr>
        <w:numPr>
          <w:ilvl w:val="0"/>
          <w:numId w:val="1013"/>
        </w:numPr>
        <w:pStyle w:val="Compact"/>
      </w:pPr>
      <w:r>
        <w:t xml:space="preserve">💡 参与策略：下午先看扩散，不追首轮快速拉升；稳健资金等待板块回踩后仍保持强度。</w:t>
      </w:r>
    </w:p>
    <w:p>
      <w:pPr>
        <w:numPr>
          <w:ilvl w:val="0"/>
          <w:numId w:val="1013"/>
        </w:numPr>
        <w:pStyle w:val="Compact"/>
      </w:pPr>
      <w:r>
        <w:t xml:space="preserve">✅ 触发条件：医疗服务与创新药继续同步走强，且澳洋健康不出现涨停开板后的持续回落。</w:t>
      </w:r>
    </w:p>
    <w:p>
      <w:pPr>
        <w:numPr>
          <w:ilvl w:val="0"/>
          <w:numId w:val="1013"/>
        </w:numPr>
        <w:pStyle w:val="Compact"/>
      </w:pPr>
      <w:r>
        <w:t xml:space="preserve">🚫 失效条件：涨停样本开板回落、板块涨幅快速收窄，或仅剩单只个股维持强势。</w:t>
      </w:r>
    </w:p>
    <w:p>
      <w:pPr>
        <w:numPr>
          <w:ilvl w:val="0"/>
          <w:numId w:val="1013"/>
        </w:numPr>
        <w:pStyle w:val="Compact"/>
      </w:pPr>
      <w:r>
        <w:t xml:space="preserve">⚠️ 风险：本地板块、资金和涨停样本源均缺失，2.68%为华泰文本单源，暂不提升为高优先级。</w:t>
      </w:r>
    </w:p>
    <w:p>
      <w:pPr>
        <w:pStyle w:val="Heading3"/>
      </w:pPr>
      <w:bookmarkStart w:id="37" w:name="应回避农业种植与退潮高位股优先级回避"/>
      <w:r>
        <w:t xml:space="preserve">📉 应回避：农业种植与退潮高位股（优先级：回避）</w:t>
      </w:r>
      <w:bookmarkEnd w:id="37"/>
    </w:p>
    <w:p>
      <w:pPr>
        <w:numPr>
          <w:ilvl w:val="0"/>
          <w:numId w:val="1014"/>
        </w:numPr>
        <w:pStyle w:val="Compact"/>
      </w:pPr>
      <w:r>
        <w:t xml:space="preserve">📌 证据链：华泰文本称中粮科技领跌，粮食、玉米方向集体下挫；龙版传媒、新农开发、敦煌种业跌停；上涨家数虽占优，但高位股已出现明显亏钱效应线索。</w:t>
      </w:r>
    </w:p>
    <w:p>
      <w:pPr>
        <w:numPr>
          <w:ilvl w:val="0"/>
          <w:numId w:val="1014"/>
        </w:numPr>
        <w:pStyle w:val="Compact"/>
      </w:pPr>
      <w:r>
        <w:t xml:space="preserve">🚫 回避标的：中粮科技、龙版传媒、新农开发、敦煌种业；不做跌停翘板，不做无资金数据支持的逆势抄底。</w:t>
      </w:r>
    </w:p>
    <w:p>
      <w:pPr>
        <w:numPr>
          <w:ilvl w:val="0"/>
          <w:numId w:val="1014"/>
        </w:numPr>
        <w:pStyle w:val="Compact"/>
      </w:pPr>
      <w:r>
        <w:t xml:space="preserve">✅ 解除回避条件：相关方向出现明确止跌、跌停打开后有持续承接，且板块资金数据恢复并确认转强。</w:t>
      </w:r>
    </w:p>
    <w:p>
      <w:pPr>
        <w:numPr>
          <w:ilvl w:val="0"/>
          <w:numId w:val="1014"/>
        </w:numPr>
        <w:pStyle w:val="Compact"/>
      </w:pPr>
      <w:r>
        <w:t xml:space="preserve">⚠️ 风险：完整跌停家数分布与个股资金流未核验，因此只能执行回避纪律，不能判断退潮已结束。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38" w:name="数据质量与执行纪律"/>
      <w:r>
        <w:t xml:space="preserve">⚠️ 数据质量与执行纪律</w:t>
      </w:r>
      <w:bookmarkEnd w:id="38"/>
    </w:p>
    <w:p>
      <w:pPr>
        <w:numPr>
          <w:ilvl w:val="0"/>
          <w:numId w:val="1015"/>
        </w:numPr>
        <w:pStyle w:val="Compact"/>
      </w:pPr>
      <w:r>
        <w:t xml:space="preserve">📊 关键源覆盖3/7，覆盖率0.4286；可用项为指数、同花顺广度和同花顺成交额，华泰补充数据完整。</w:t>
      </w:r>
    </w:p>
    <w:p>
      <w:pPr>
        <w:numPr>
          <w:ilvl w:val="0"/>
          <w:numId w:val="1015"/>
        </w:numPr>
        <w:pStyle w:val="Compact"/>
      </w:pPr>
      <w:r>
        <w:t xml:space="preserve">🔵 指数行情经新浪、东方财富、腾讯交叉验证；市场广度与成交额均为同花顺单源，可使用但必须标注单源。</w:t>
      </w:r>
    </w:p>
    <w:p>
      <w:pPr>
        <w:numPr>
          <w:ilvl w:val="0"/>
          <w:numId w:val="1015"/>
        </w:numPr>
        <w:pStyle w:val="Compact"/>
      </w:pPr>
      <w:r>
        <w:t xml:space="preserve">💰</w:t>
      </w:r>
      <w:r>
        <w:t xml:space="preserve"> </w:t>
      </w:r>
      <w:r>
        <w:rPr>
          <w:rStyle w:val="VerbatimChar"/>
        </w:rPr>
        <w:t xml:space="preserve">turnover_comparison_scope=unverified</w:t>
      </w:r>
      <w:r>
        <w:t xml:space="preserve">，只引用11139.06亿元等原始金额，不使用成交额变化百分比。</w:t>
      </w:r>
    </w:p>
    <w:p>
      <w:pPr>
        <w:numPr>
          <w:ilvl w:val="0"/>
          <w:numId w:val="1015"/>
        </w:numPr>
        <w:pStyle w:val="Compact"/>
      </w:pPr>
      <w:r>
        <w:t xml:space="preserve">🚫</w:t>
      </w:r>
      <w:r>
        <w:t xml:space="preserve"> </w:t>
      </w:r>
      <w:r>
        <w:rPr>
          <w:rStyle w:val="VerbatimChar"/>
        </w:rPr>
        <w:t xml:space="preserve">money_flow</w:t>
      </w:r>
      <w:r>
        <w:t xml:space="preserve">、</w:t>
      </w:r>
      <w:r>
        <w:rPr>
          <w:rStyle w:val="VerbatimChar"/>
        </w:rPr>
        <w:t xml:space="preserve">sector_performance</w:t>
      </w:r>
      <w:r>
        <w:t xml:space="preserve">、</w:t>
      </w:r>
      <w:r>
        <w:rPr>
          <w:rStyle w:val="VerbatimChar"/>
        </w:rPr>
        <w:t xml:space="preserve">active_stocks</w:t>
      </w:r>
      <w:r>
        <w:t xml:space="preserve">、</w:t>
      </w:r>
      <w:r>
        <w:rPr>
          <w:rStyle w:val="VerbatimChar"/>
        </w:rPr>
        <w:t xml:space="preserve">limit_stocks</w:t>
      </w:r>
      <w:r>
        <w:t xml:space="preserve">、</w:t>
      </w:r>
      <w:r>
        <w:rPr>
          <w:rStyle w:val="VerbatimChar"/>
        </w:rPr>
        <w:t xml:space="preserve">stock_quote_cross_checks</w:t>
      </w:r>
      <w:r>
        <w:t xml:space="preserve">均因HTTP 502不可用；缺失榜单全部标记未核验。</w:t>
      </w:r>
    </w:p>
    <w:p>
      <w:pPr>
        <w:numPr>
          <w:ilvl w:val="0"/>
          <w:numId w:val="1015"/>
        </w:numPr>
        <w:pStyle w:val="Compact"/>
      </w:pPr>
      <w:r>
        <w:t xml:space="preserve">🔴 华泰文本只能作为补充来源，不覆盖本地结构化数据；其个股样本可引用真实数值，但未获新浪/东财/腾讯交叉校验时不作强确定结论。</w:t>
      </w:r>
    </w:p>
    <w:p>
      <w:r>
        <w:pict>
          <v:rect style="width:0;height:1.5pt" o:hralign="center" o:hrstd="t" o:hr="t"/>
        </w:pict>
      </w:r>
    </w:p>
    <w:p>
      <w:pPr>
        <w:pStyle w:val="BlockText"/>
      </w:pPr>
      <w:r>
        <w:t xml:space="preserve">📊 生成时间：2026-09-14 11:45（北京时间，Asia/Shanghai）</w:t>
      </w:r>
      <w:r>
        <w:t xml:space="preserve"> </w:t>
      </w:r>
      <w:r>
        <w:t xml:space="preserve">🔮 by：先知 v1.0.3 — 周先生出品</w:t>
      </w:r>
      <w:r>
        <w:t xml:space="preserve"> </w:t>
      </w:r>
      <w:r>
        <w:t xml:space="preserve">🔵 数据采集模型：local-python</w:t>
      </w:r>
      <w:r>
        <w:t xml:space="preserve"> </w:t>
      </w:r>
      <w:r>
        <w:t xml:space="preserve">🔴 分析+写稿模型：hermes</w:t>
      </w:r>
      <w:r>
        <w:t xml:space="preserve"> </w:t>
      </w:r>
      <w:r>
        <w:t xml:space="preserve">📄 文档生成：pandoc (markdown → docx)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1">
    <w:nsid w:val="ea454b4c"/>
    <w:multiLevelType w:val="multilevel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–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•"/>
      <w:lvlJc w:val="left"/>
      <w:pPr>
        <w:tabs>
          <w:tab w:val="num" w:pos="5760"/>
        </w:tabs>
        <w:ind w:left="6240" w:hanging="480"/>
      </w:pPr>
    </w:lvl>
  </w:abstractNum>
  <w:abstractNum w:abstractNumId="99411">
    <w:nsid w:val="71315dca"/>
    <w:multiLevelType w:val="multilevel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1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1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1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spelling="clean" w:grammar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</w:style>
  <w:style w:type="paragraph" w:styleId="BodyText">
    <w:name w:val="Body Text"/>
    <w:basedOn w:val="Normal"/>
    <w:link w:val="BodyTextChar"/>
    <w:pPr>
      <w:spacing w:before="180" w:after="180"/>
    </w:pPr>
    <w:qFormat/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itle">
    <w:name w:val="Subtitle"/>
    <w:basedOn w:val="Title"/>
    <w:next w:val="BodyText"/>
    <w:qFormat/>
    <w:pPr>
      <w:keepNext/>
      <w:keepLines/>
      <w:spacing w:before="240" w:after="240"/>
      <w:jc w:val="center"/>
    </w:pPr>
    <w:rPr>
      <w:sz w:val="30"/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">
    <w:name w:val="Abstract"/>
    <w:basedOn w:val="Normal"/>
    <w:next w:val="BodyText"/>
    <w:qFormat/>
    <w:pPr>
      <w:keepNext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Heading4">
    <w:name w:val="Heading 4"/>
    <w:basedOn w:val="Normal"/>
    <w:next w:val="BodyText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i/>
      <w:bCs/>
      <w:color w:val="4F81BD" w:themeColor="accent1"/>
      <w:sz w:val="24"/>
      <w:szCs w:val="24"/>
    </w:rPr>
  </w:style>
  <w:style w:type="paragraph" w:styleId="Heading5">
    <w:name w:val="Heading 5"/>
    <w:basedOn w:val="Normal"/>
    <w:next w:val="BodyText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  <w:sz w:val="24"/>
      <w:szCs w:val="24"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7">
    <w:name w:val="Heading 7"/>
    <w:basedOn w:val="Normal"/>
    <w:next w:val="BodyText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8">
    <w:name w:val="Heading 8"/>
    <w:basedOn w:val="Normal"/>
    <w:next w:val="BodyText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9">
    <w:name w:val="Heading 9"/>
    <w:basedOn w:val="Normal"/>
    <w:next w:val="BodyText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
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2026-09-14T03:51:37Z</dcterms:created>
  <dcterms:modified xsi:type="dcterms:W3CDTF">2026-09-14T03:51:37Z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