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14周一"/>
      <w:r>
        <w:t xml:space="preserve">🕑 全天复盘 | 2026-09-14（周一）</w:t>
      </w:r>
      <w:bookmarkEnd w:id="20"/>
    </w:p>
    <w:p>
      <w:pPr>
        <w:pStyle w:val="BlockText"/>
      </w:pPr>
      <w:r>
        <w:t xml:space="preserve">📊 核心判断：指数午后全面走弱，但个股仍涨多跌少，形成</w:t>
      </w:r>
      <w:r>
        <w:t xml:space="preserve">“</w:t>
      </w:r>
      <w:r>
        <w:t xml:space="preserve">指数弱、个股相对活跃</w:t>
      </w:r>
      <w:r>
        <w:t xml:space="preserve">”</w:t>
      </w:r>
      <w:r>
        <w:t xml:space="preserve">的结构性分化。上证指数收跌0.07%，创业板指跌1.10%，科创50跌1.62%；同花顺单源显示上涨3126家、下跌2224家。明日以低位题材的分歧承接为主，不追高，整体仓位上限按60%执行。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全天行情概览"/>
      <w:r>
        <w:t xml:space="preserve">📊 全天行情概览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收盘点位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涨跌幅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数据核验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3885.33</w:t>
            </w:r>
          </w:p>
        </w:tc>
        <w:tc>
          <w:p>
            <w:pPr>
              <w:pStyle w:val="Compact"/>
              <w:jc w:val="right"/>
            </w:pPr>
            <w:r>
              <w:t xml:space="preserve">📉 -0.07%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13384.57</w:t>
            </w:r>
          </w:p>
        </w:tc>
        <w:tc>
          <w:p>
            <w:pPr>
              <w:pStyle w:val="Compact"/>
              <w:jc w:val="right"/>
            </w:pPr>
            <w:r>
              <w:t xml:space="preserve">📉 -0.64%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3285.58</w:t>
            </w:r>
          </w:p>
        </w:tc>
        <w:tc>
          <w:p>
            <w:pPr>
              <w:pStyle w:val="Compact"/>
              <w:jc w:val="right"/>
            </w:pPr>
            <w:r>
              <w:t xml:space="preserve">📉 -1.10%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1528.27</w:t>
            </w:r>
          </w:p>
        </w:tc>
        <w:tc>
          <w:p>
            <w:pPr>
              <w:pStyle w:val="Compact"/>
              <w:jc w:val="right"/>
            </w:pPr>
            <w:r>
              <w:t xml:space="preserve">📉 -1.62%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4480.08</w:t>
            </w:r>
          </w:p>
        </w:tc>
        <w:tc>
          <w:p>
            <w:pPr>
              <w:pStyle w:val="Compact"/>
              <w:jc w:val="right"/>
            </w:pPr>
            <w:r>
              <w:t xml:space="preserve">📉 -0.67%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💰 同花顺单源确认全市场成交额16429.81亿元；接口同时给出昨日成交额标签值19869.53亿元，但</w:t>
      </w:r>
      <w:r>
        <w:rPr>
          <w:rStyle w:val="VerbatimChar"/>
        </w:rPr>
        <w:t xml:space="preserve">turnover_comparison_scope=unverified</w:t>
      </w:r>
      <w:r>
        <w:t xml:space="preserve">，因此不计算成交额变化百分比，也不把两者解释为严格同口径对比。</w:t>
      </w:r>
    </w:p>
    <w:p>
      <w:pPr>
        <w:numPr>
          <w:ilvl w:val="0"/>
          <w:numId w:val="1001"/>
        </w:numPr>
        <w:pStyle w:val="Compact"/>
      </w:pPr>
      <w:r>
        <w:t xml:space="preserve">🟢 同花顺单源显示上涨3126家、下跌2224家、平盘200家、停牌12家；涨停56家、跌停16家。</w:t>
      </w:r>
    </w:p>
    <w:p>
      <w:pPr>
        <w:numPr>
          <w:ilvl w:val="0"/>
          <w:numId w:val="1001"/>
        </w:numPr>
        <w:pStyle w:val="Compact"/>
      </w:pPr>
      <w:r>
        <w:t xml:space="preserve">🎭 一句话特征：权重成长承压、中小盘结构性修复，高低切换仍在，但午后亏钱效应较上午扩大。</w:t>
      </w:r>
    </w:p>
    <w:p>
      <w:pPr>
        <w:numPr>
          <w:ilvl w:val="0"/>
          <w:numId w:val="1001"/>
        </w:numPr>
        <w:pStyle w:val="Compact"/>
      </w:pPr>
      <w:r>
        <w:t xml:space="preserve">🌐 沪深300ETF净申购方向未进入采集JSON，外资代理指标标记为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，不引用华泰文字中的北向资金判断替代。</w:t>
      </w:r>
    </w:p>
    <w:p>
      <w:pPr>
        <w:numPr>
          <w:ilvl w:val="0"/>
          <w:numId w:val="1001"/>
        </w:numPr>
        <w:pStyle w:val="Compact"/>
      </w:pPr>
      <w:r>
        <w:t xml:space="preserve">⚠️ 华泰</w:t>
      </w:r>
      <w:r>
        <w:rPr>
          <w:rStyle w:val="VerbatimChar"/>
        </w:rPr>
        <w:t xml:space="preserve">market_insight</w:t>
      </w:r>
      <w:r>
        <w:t xml:space="preserve">文本称跌停18家，与同花顺结构化结果16家存在差异；正文采用同花顺结构化单源值，并显式保留差异说明。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-vs-下午对比"/>
      <w:r>
        <w:t xml:space="preserve">⏰ 上午 vs 下午对比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📉 上证指数由午间3894.28点、涨0.16%，回落至3885.33点、跌0.07%；午后下降8.95点，涨跌幅回落0.23个百分点，3900点未能收复。</w:t>
      </w:r>
    </w:p>
    <w:p>
      <w:pPr>
        <w:numPr>
          <w:ilvl w:val="0"/>
          <w:numId w:val="1002"/>
        </w:numPr>
        <w:pStyle w:val="Compact"/>
      </w:pPr>
      <w:r>
        <w:t xml:space="preserve">📉 深证成指午后下降52.35点，涨跌幅由-0.25%扩大至-0.64%；创业板指午后下降20.78点，跌幅由-0.47%扩大至-1.10%。</w:t>
      </w:r>
    </w:p>
    <w:p>
      <w:pPr>
        <w:numPr>
          <w:ilvl w:val="0"/>
          <w:numId w:val="1002"/>
        </w:numPr>
        <w:pStyle w:val="Compact"/>
      </w:pPr>
      <w:r>
        <w:t xml:space="preserve">📉 科创50午后下降10.58点，跌幅由-0.94%扩大至-1.62%；成长权重是午后主要指数拖累。</w:t>
      </w:r>
    </w:p>
    <w:p>
      <w:pPr>
        <w:numPr>
          <w:ilvl w:val="0"/>
          <w:numId w:val="1002"/>
        </w:numPr>
        <w:pStyle w:val="Compact"/>
      </w:pPr>
      <w:r>
        <w:t xml:space="preserve">🟢 上涨家数由3576家降至3126家，减少450家；下跌家数由1797家增至2224家，增加427家，午后普涨修复有所收敛。</w:t>
      </w:r>
    </w:p>
    <w:p>
      <w:pPr>
        <w:numPr>
          <w:ilvl w:val="0"/>
          <w:numId w:val="1002"/>
        </w:numPr>
        <w:pStyle w:val="Compact"/>
      </w:pPr>
      <w:r>
        <w:t xml:space="preserve">🔴 涨停家数由50家增至56家，同时跌停家数由9家增至16家，说明强势股继续晋级、弱势股风险也同步扩散，分歧明显加大。</w:t>
      </w:r>
    </w:p>
    <w:p>
      <w:pPr>
        <w:numPr>
          <w:ilvl w:val="0"/>
          <w:numId w:val="1002"/>
        </w:numPr>
        <w:pStyle w:val="Compact"/>
      </w:pPr>
      <w:r>
        <w:t xml:space="preserve">🎯 午盘观点验证：PCB/MLCC、低位事件题材仍有强股样本，但</w:t>
      </w:r>
      <w:r>
        <w:t xml:space="preserve">“</w:t>
      </w:r>
      <w:r>
        <w:t xml:space="preserve">沪指站稳3900再提升仓位</w:t>
      </w:r>
      <w:r>
        <w:t xml:space="preserve">”</w:t>
      </w:r>
      <w:r>
        <w:t xml:space="preserve">未触发；军工未恢复为主攻方向，防追高纪律继续有效。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与龙头股"/>
      <w:r>
        <w:t xml:space="preserve">🔥 领涨板块 TOP10 与龙头股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⚠️</w:t>
      </w:r>
      <w:r>
        <w:t xml:space="preserve"> </w:t>
      </w:r>
      <w:r>
        <w:rPr>
          <w:rStyle w:val="VerbatimChar"/>
        </w:rPr>
        <w:t xml:space="preserve">sector_performance.ok=false</w:t>
      </w:r>
      <w:r>
        <w:t xml:space="preserve">，完整领涨板块TOP10及板块涨幅、成交额均未核验；禁止把华泰文本线索写成正式市场榜单。</w:t>
      </w:r>
    </w:p>
    <w:p>
      <w:pPr>
        <w:numPr>
          <w:ilvl w:val="0"/>
          <w:numId w:val="1003"/>
        </w:numPr>
        <w:pStyle w:val="Compact"/>
      </w:pPr>
      <w:r>
        <w:t xml:space="preserve">📌 华泰补充数据共同指向PCB/MLCC、网络安全、CRO/创新药、新能源汽车、绿电等活跃方向，但均缺少本地板块榜单和个股三源行情复核，只能按</w:t>
      </w:r>
      <w:r>
        <w:t xml:space="preserve">“</w:t>
      </w:r>
      <w:r>
        <w:t xml:space="preserve">单一补充来源线索</w:t>
      </w:r>
      <w:r>
        <w:t xml:space="preserve">”</w:t>
      </w:r>
      <w:r>
        <w:t xml:space="preserve">使用。</w:t>
      </w:r>
    </w:p>
    <w:p>
      <w:pPr>
        <w:numPr>
          <w:ilvl w:val="0"/>
          <w:numId w:val="1003"/>
        </w:numPr>
        <w:pStyle w:val="Compact"/>
      </w:pPr>
      <w:r>
        <w:t xml:space="preserve">🚫</w:t>
      </w:r>
      <w:r>
        <w:t xml:space="preserve"> </w:t>
      </w:r>
      <w:r>
        <w:rPr>
          <w:rStyle w:val="VerbatimChar"/>
        </w:rPr>
        <w:t xml:space="preserve">active_stocks</w:t>
      </w:r>
      <w:r>
        <w:t xml:space="preserve">与</w:t>
      </w:r>
      <w:r>
        <w:rPr>
          <w:rStyle w:val="VerbatimChar"/>
        </w:rPr>
        <w:t xml:space="preserve">limit_stocks</w:t>
      </w:r>
      <w:r>
        <w:t xml:space="preserve">均因东方财富HTTP 502失败，正式TOP20龙头股榜单无法生成；以下10只是华泰条件选股样本，不等同于全市场涨幅、成交额或资金绝对榜单。</w:t>
      </w:r>
    </w:p>
    <w:p>
      <w:pPr>
        <w:pStyle w:val="Heading3"/>
      </w:pPr>
      <w:bookmarkStart w:id="24" w:name="华泰上涨趋势与净流入条件样本10只"/>
      <w:r>
        <w:t xml:space="preserve">🔥 华泰上涨趋势与净流入条件样本（10只）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301132 满坤科技：58.37元，涨20.00%，主力净流入1.20亿元；PCB方向高弹性样本，明日不追一致性高开。</w:t>
      </w:r>
    </w:p>
    <w:p>
      <w:pPr>
        <w:numPr>
          <w:ilvl w:val="0"/>
          <w:numId w:val="1004"/>
        </w:numPr>
        <w:pStyle w:val="Compact"/>
      </w:pPr>
      <w:r>
        <w:t xml:space="preserve">300903 科翔股份：108.30元，涨20.00%，主力净流入3.32亿元；PCB方向资金辨识度较高，重点看分歧承接。</w:t>
      </w:r>
    </w:p>
    <w:p>
      <w:pPr>
        <w:numPr>
          <w:ilvl w:val="0"/>
          <w:numId w:val="1004"/>
        </w:numPr>
        <w:pStyle w:val="Compact"/>
      </w:pPr>
      <w:r>
        <w:t xml:space="preserve">300430 *ST益通：5.58元，涨20.00%，主力净流入1381.80万元；ST属性风险高，不纳入常规策略候选。</w:t>
      </w:r>
    </w:p>
    <w:p>
      <w:pPr>
        <w:numPr>
          <w:ilvl w:val="0"/>
          <w:numId w:val="1004"/>
        </w:numPr>
        <w:pStyle w:val="Compact"/>
      </w:pPr>
      <w:r>
        <w:t xml:space="preserve">301251 威尔高：65.66元，涨11.29%，主力净流入6856.96万元；PCB链补涨样本，需等待板块继续扩散。</w:t>
      </w:r>
    </w:p>
    <w:p>
      <w:pPr>
        <w:numPr>
          <w:ilvl w:val="0"/>
          <w:numId w:val="1004"/>
        </w:numPr>
        <w:pStyle w:val="Compact"/>
      </w:pPr>
      <w:r>
        <w:t xml:space="preserve">300369 绿盟科技：8.65元，涨10.90%，主力净流入4498.59万元；网络安全方向样本，观察事件催化持续性。</w:t>
      </w:r>
    </w:p>
    <w:p>
      <w:pPr>
        <w:numPr>
          <w:ilvl w:val="0"/>
          <w:numId w:val="1004"/>
        </w:numPr>
        <w:pStyle w:val="Compact"/>
      </w:pPr>
      <w:r>
        <w:t xml:space="preserve">688225 亚信安全：13.69元，涨10.40%，主力净流入636.78万元；网络安全跟随样本，净流入规模较低。</w:t>
      </w:r>
    </w:p>
    <w:p>
      <w:pPr>
        <w:numPr>
          <w:ilvl w:val="0"/>
          <w:numId w:val="1004"/>
        </w:numPr>
        <w:pStyle w:val="Compact"/>
      </w:pPr>
      <w:r>
        <w:t xml:space="preserve">000868 安凯客车：3.91元，涨10.14%，主力净流入2548.62万元；汽车整车政策线样本，谨防板块冲高分化。</w:t>
      </w:r>
    </w:p>
    <w:p>
      <w:pPr>
        <w:numPr>
          <w:ilvl w:val="0"/>
          <w:numId w:val="1004"/>
        </w:numPr>
        <w:pStyle w:val="Compact"/>
      </w:pPr>
      <w:r>
        <w:t xml:space="preserve">000812 陕西金叶：4.14元，涨10.11%，主力净流入7398.81万元；具体板块共振未获本地数据确认，只列观察。</w:t>
      </w:r>
    </w:p>
    <w:p>
      <w:pPr>
        <w:numPr>
          <w:ilvl w:val="0"/>
          <w:numId w:val="1004"/>
        </w:numPr>
        <w:pStyle w:val="Compact"/>
      </w:pPr>
      <w:r>
        <w:t xml:space="preserve">600697 欧亚集团：12.16元，涨10.05%，主力净流入4237.39万元；商业零售样本，持续性需新增同板块强股确认。</w:t>
      </w:r>
    </w:p>
    <w:p>
      <w:pPr>
        <w:numPr>
          <w:ilvl w:val="0"/>
          <w:numId w:val="1004"/>
        </w:numPr>
        <w:pStyle w:val="Compact"/>
      </w:pPr>
      <w:r>
        <w:t xml:space="preserve">601086 国芳集团：17.99元，涨10.03%，主力净流入8058.59万元；零售方向样本，不在加速段追高。</w:t>
      </w:r>
    </w:p>
    <w:p>
      <w:pPr>
        <w:pStyle w:val="BlockText"/>
      </w:pPr>
      <w:r>
        <w:t xml:space="preserve">⚠️ 华泰文本另提到超声电子、中新赛克、众泰汽车、闽东电力、万邦医药、永信至诚等高辨识度个股，但精确收盘行情、成交额和本地三源交叉校验缺失，不能补成TOP20正式榜单。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资金流向-top10"/>
      <w:r>
        <w:t xml:space="preserve">💰 资金流向 TOP10</w:t>
      </w:r>
      <w:bookmarkEnd w:id="25"/>
    </w:p>
    <w:p>
      <w:pPr>
        <w:pStyle w:val="Heading3"/>
      </w:pPr>
      <w:bookmarkStart w:id="26" w:name="主力资金流入-top10"/>
      <w:r>
        <w:t xml:space="preserve">💰 主力资金流入 TOP10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🚫 未核验：</w:t>
      </w:r>
      <w:r>
        <w:rPr>
          <w:rStyle w:val="VerbatimChar"/>
        </w:rPr>
        <w:t xml:space="preserve">money_flow.ok=false</w:t>
      </w:r>
      <w:r>
        <w:t xml:space="preserve">，东方财富接口返回HTTP 502，采集JSON没有全市场或板块主力净流入TOP10真实榜单。</w:t>
      </w:r>
    </w:p>
    <w:p>
      <w:pPr>
        <w:numPr>
          <w:ilvl w:val="0"/>
          <w:numId w:val="1005"/>
        </w:numPr>
        <w:pStyle w:val="Compact"/>
      </w:pPr>
      <w:r>
        <w:t xml:space="preserve">🚫 不使用盘前的昨日资金榜单冒充今日数据，也不把华泰带筛选条件的10只上涨样本冒充全市场净流入TOP10。</w:t>
      </w:r>
    </w:p>
    <w:p>
      <w:pPr>
        <w:numPr>
          <w:ilvl w:val="0"/>
          <w:numId w:val="1005"/>
        </w:numPr>
        <w:pStyle w:val="Compact"/>
      </w:pPr>
      <w:r>
        <w:t xml:space="preserve">📌 可确认的补充线索仅为华泰文本所述</w:t>
      </w:r>
      <w:r>
        <w:t xml:space="preserve">“</w:t>
      </w:r>
      <w:r>
        <w:t xml:space="preserve">医药、通用设备、机械设备净流入</w:t>
      </w:r>
      <w:r>
        <w:t xml:space="preserve">”</w:t>
      </w:r>
      <w:r>
        <w:t xml:space="preserve">，但缺少完整名次和精确金额，不能替代正式榜单。</w:t>
      </w:r>
    </w:p>
    <w:p>
      <w:pPr>
        <w:pStyle w:val="Heading3"/>
      </w:pPr>
      <w:bookmarkStart w:id="27" w:name="主力资金流出-top10"/>
      <w:r>
        <w:t xml:space="preserve">⚠️ 主力资金流出 TOP10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🚫 未核验：</w:t>
      </w:r>
      <w:r>
        <w:rPr>
          <w:rStyle w:val="VerbatimChar"/>
        </w:rPr>
        <w:t xml:space="preserve">money_flow.ok=false</w:t>
      </w:r>
      <w:r>
        <w:t xml:space="preserve">，采集JSON没有今日主力净流出TOP10真实榜单及完整金额。</w:t>
      </w:r>
    </w:p>
    <w:p>
      <w:pPr>
        <w:numPr>
          <w:ilvl w:val="0"/>
          <w:numId w:val="1006"/>
        </w:numPr>
        <w:pStyle w:val="Compact"/>
      </w:pPr>
      <w:r>
        <w:t xml:space="preserve">📌 华泰文本仅给出通信净流出超过47亿元，并称半导体、国防军工为流出方向；因没有完整结构化榜单与本地交叉源，不能补齐其余名次。</w:t>
      </w:r>
    </w:p>
    <w:p>
      <w:pPr>
        <w:numPr>
          <w:ilvl w:val="0"/>
          <w:numId w:val="1006"/>
        </w:numPr>
        <w:pStyle w:val="Compact"/>
      </w:pPr>
      <w:r>
        <w:t xml:space="preserve">📌 华泰文本称中际旭创净卖出超过18亿元，长鑫科技、东山精密、新易盛流出居前；这些只能作为单源风险线索，不能写成全市场流出排名。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领跌板块-top5-与资金流出预警"/>
      <w:r>
        <w:t xml:space="preserve">🔴 领跌板块 TOP5 与资金流出预警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⚠️ 正式领跌板块TOP5未核验：</w:t>
      </w:r>
      <w:r>
        <w:rPr>
          <w:rStyle w:val="VerbatimChar"/>
        </w:rPr>
        <w:t xml:space="preserve">sector_performance.ok=false</w:t>
      </w:r>
      <w:r>
        <w:t xml:space="preserve">，以下为华泰补充文本中的风险方向，不代表完整排名。</w:t>
      </w:r>
    </w:p>
    <w:p>
      <w:pPr>
        <w:numPr>
          <w:ilvl w:val="0"/>
          <w:numId w:val="1007"/>
        </w:numPr>
        <w:pStyle w:val="Compact"/>
      </w:pPr>
      <w:r>
        <w:t xml:space="preserve">📉 算力硬件/光通信：华泰文本称中际旭创、新易盛盘中一度跌超5%，通信净流出超过47亿元；科技主线由全面进攻转为内部高低切换。</w:t>
      </w:r>
    </w:p>
    <w:p>
      <w:pPr>
        <w:numPr>
          <w:ilvl w:val="0"/>
          <w:numId w:val="1007"/>
        </w:numPr>
        <w:pStyle w:val="Compact"/>
      </w:pPr>
      <w:r>
        <w:t xml:space="preserve">📉 半导体/存储芯片：华泰文本称长鑫科技、兆易创新、澜起科技调整，且半导体为净流出方向；科创50收跌1.62%提供指数层面的风险印证。</w:t>
      </w:r>
    </w:p>
    <w:p>
      <w:pPr>
        <w:numPr>
          <w:ilvl w:val="0"/>
          <w:numId w:val="1007"/>
        </w:numPr>
        <w:pStyle w:val="Compact"/>
      </w:pPr>
      <w:r>
        <w:t xml:space="preserve">📉 国防军工：华泰文本列为资金流出方向，午盘也未出现板块修复证据，继续降级为回避追涨。</w:t>
      </w:r>
    </w:p>
    <w:p>
      <w:pPr>
        <w:numPr>
          <w:ilvl w:val="0"/>
          <w:numId w:val="1007"/>
        </w:numPr>
        <w:pStyle w:val="Compact"/>
      </w:pPr>
      <w:r>
        <w:t xml:space="preserve">📉 农业与高位题材：华泰文本称龙版传媒、新农开发、敦煌种业、南宁百货跌停；完整跌停样本缺失，不能外推退潮规模。</w:t>
      </w:r>
    </w:p>
    <w:p>
      <w:pPr>
        <w:numPr>
          <w:ilvl w:val="0"/>
          <w:numId w:val="1007"/>
        </w:numPr>
        <w:pStyle w:val="Compact"/>
      </w:pPr>
      <w:r>
        <w:t xml:space="preserve">🚫 风险纪律：高位股跌停增加、科技核心流出时，不做弱势反抽追涨；只有资金数据恢复并确认由负转正，才解除回避。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市场情绪综合判断"/>
      <w:r>
        <w:t xml:space="preserve">🎭 市场情绪综合判断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🟢 赚钱效应：上涨3126家、下跌2224家，个股层面仍有正向广度；56家涨停说明低位题材仍具活跃度。</w:t>
      </w:r>
    </w:p>
    <w:p>
      <w:pPr>
        <w:numPr>
          <w:ilvl w:val="0"/>
          <w:numId w:val="1008"/>
        </w:numPr>
        <w:pStyle w:val="Compact"/>
      </w:pPr>
      <w:r>
        <w:t xml:space="preserve">🔴 分歧程度：午后上涨家数减少450家、下跌家数增加427家，跌停由9家升至16家，强弱两端同时扩张。</w:t>
      </w:r>
    </w:p>
    <w:p>
      <w:pPr>
        <w:numPr>
          <w:ilvl w:val="0"/>
          <w:numId w:val="1008"/>
        </w:numPr>
        <w:pStyle w:val="Compact"/>
      </w:pPr>
      <w:r>
        <w:t xml:space="preserve">📉 市场风格：顶层</w:t>
      </w:r>
      <w:r>
        <w:rPr>
          <w:rStyle w:val="VerbatimChar"/>
        </w:rPr>
        <w:t xml:space="preserve">derived.market_style</w:t>
      </w:r>
      <w:r>
        <w:t xml:space="preserve">为</w:t>
      </w:r>
      <w:r>
        <w:t xml:space="preserve">“</w:t>
      </w:r>
      <w:r>
        <w:t xml:space="preserve">震荡/均衡</w:t>
      </w:r>
      <w:r>
        <w:t xml:space="preserve">”</w:t>
      </w:r>
      <w:r>
        <w:t xml:space="preserve">；指数平均涨跌幅为-0.82%，成长指数弱于上证，风格偏向低位题材与防御权重。</w:t>
      </w:r>
    </w:p>
    <w:p>
      <w:pPr>
        <w:numPr>
          <w:ilvl w:val="0"/>
          <w:numId w:val="1008"/>
        </w:numPr>
        <w:pStyle w:val="Compact"/>
      </w:pPr>
      <w:r>
        <w:t xml:space="preserve">🎭 情绪周期：定性为</w:t>
      </w:r>
      <w:r>
        <w:t xml:space="preserve">“</w:t>
      </w:r>
      <w:r>
        <w:t xml:space="preserve">正常偏分歧</w:t>
      </w:r>
      <w:r>
        <w:t xml:space="preserve">”</w:t>
      </w:r>
      <w:r>
        <w:t xml:space="preserve">，不判定过热，也不判定全面退潮。依据是涨多跌少与跌停扩张并存；完整连板梯队源缺失，置信度受限。</w:t>
      </w:r>
    </w:p>
    <w:p>
      <w:pPr>
        <w:numPr>
          <w:ilvl w:val="0"/>
          <w:numId w:val="1008"/>
        </w:numPr>
        <w:pStyle w:val="Compact"/>
      </w:pPr>
      <w:r>
        <w:t xml:space="preserve">💰 量能：只确认当日成交额16429.81亿元和昨日标签值19869.53亿元；比较口径未核验，不使用缩量百分比作为仓位证据。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pStyle w:val="FirstParagraph"/>
      </w:pPr>
      <w:r>
        <w:t xml:space="preserve">自选股3只收盘行情全部取得。工商银行逆势走强，弘元绿能与风语筑收跌；三者均未与当日最活跃的PCB、网络安全、创新药方向形成直接共振。整体以跟踪为主，暂不作为主攻方向；工商银行继续承担防御属性。</w:t>
      </w:r>
    </w:p>
    <w:p>
      <w:pPr>
        <w:numPr>
          <w:ilvl w:val="0"/>
          <w:numId w:val="1009"/>
        </w:numPr>
        <w:pStyle w:val="Compact"/>
      </w:pPr>
      <w:r>
        <w:t xml:space="preserve">📉 603185 弘元绿能：13.97元，跌0.78%；属光伏制造/硅片设备链，与当日绿电政策线仅为间接关系，与PCB、网络安全及医药活跃线不共振。结论：偏弱、继续观察，不无条件补仓；只有光伏链资金转正且个股放量转强，才可低吸跟踪。</w:t>
      </w:r>
    </w:p>
    <w:p>
      <w:pPr>
        <w:numPr>
          <w:ilvl w:val="0"/>
          <w:numId w:val="1009"/>
        </w:numPr>
        <w:pStyle w:val="Compact"/>
      </w:pPr>
      <w:r>
        <w:t xml:space="preserve">📉 603466 风语筑：12.96元，跌2.34%；属数字展示/文化传媒，虽与AI软件、数字内容政策存在映射，但当日主线共振不足，且午后由13.15元继续回落。结论：偏弱，以跟踪为主、暂不作为主攻方向；未重新转强前不加仓。</w:t>
      </w:r>
    </w:p>
    <w:p>
      <w:pPr>
        <w:numPr>
          <w:ilvl w:val="0"/>
          <w:numId w:val="1009"/>
        </w:numPr>
        <w:pStyle w:val="Compact"/>
      </w:pPr>
      <w:r>
        <w:t xml:space="preserve">📈 601398 工商银行：8.22元，涨1.36%；属银行高股息防御，与题材主线不共振，但明显强于沪深300与成长指数。结论：偏强、可继续作为防御底仓，不追高；若银行板块转为放量领跌，则降低持有强度。</w:t>
      </w:r>
    </w:p>
    <w:p>
      <w:pPr>
        <w:pStyle w:val="BlockText"/>
      </w:pPr>
      <w:r>
        <w:t xml:space="preserve">⚠️ 以上3只行情来自华泰</w:t>
      </w:r>
      <w:r>
        <w:rPr>
          <w:rStyle w:val="VerbatimChar"/>
        </w:rPr>
        <w:t xml:space="preserve">paper_trading_quotes</w:t>
      </w:r>
      <w:r>
        <w:t xml:space="preserve">单一补充来源；</w:t>
      </w:r>
      <w:r>
        <w:rPr>
          <w:rStyle w:val="VerbatimChar"/>
        </w:rPr>
        <w:t xml:space="preserve">stock_quote_cross_checks.ok=false</w:t>
      </w:r>
      <w:r>
        <w:t xml:space="preserve">，未获新浪/东方财富/腾讯个股行情交叉验证。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用户实盘持仓复盘"/>
      <w:r>
        <w:t xml:space="preserve">💼 用户实盘持仓复盘</w:t>
      </w:r>
      <w:bookmarkEnd w:id="31"/>
    </w:p>
    <w:p>
      <w:pPr>
        <w:pStyle w:val="Heading3"/>
      </w:pPr>
      <w:bookmarkStart w:id="32" w:name="弘元绿能300股成本26.6669元"/>
      <w:r>
        <w:t xml:space="preserve">📉 603185 弘元绿能｜300股｜成本26.6669元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📊 收盘13.97元，按现价计算浮亏47.61%，账面浮亏3809.07元；行情为华泰单源。</w:t>
      </w:r>
    </w:p>
    <w:p>
      <w:pPr>
        <w:numPr>
          <w:ilvl w:val="0"/>
          <w:numId w:val="1010"/>
        </w:numPr>
        <w:pStyle w:val="Compact"/>
      </w:pPr>
      <w:r>
        <w:t xml:space="preserve">💡 明日动作：减仓观察优先，不因深套摊薄。反弹若仍弱于光伏板块，可利用冲高降低风险敞口。</w:t>
      </w:r>
    </w:p>
    <w:p>
      <w:pPr>
        <w:numPr>
          <w:ilvl w:val="0"/>
          <w:numId w:val="1010"/>
        </w:numPr>
        <w:pStyle w:val="Compact"/>
      </w:pPr>
      <w:r>
        <w:t xml:space="preserve">🚫 离场/减仓条件：个股继续走弱且光伏链资金维持净流出，或出现经核验的重大利空公告。</w:t>
      </w:r>
    </w:p>
    <w:p>
      <w:pPr>
        <w:numPr>
          <w:ilvl w:val="0"/>
          <w:numId w:val="1010"/>
        </w:numPr>
        <w:pStyle w:val="Compact"/>
      </w:pPr>
      <w:r>
        <w:t xml:space="preserve">✅ 条件加仓：仅在光伏板块资金转正、个股放量转强并获第二行情源确认后小仓试错；三项缺一不可。</w:t>
      </w:r>
    </w:p>
    <w:p>
      <w:pPr>
        <w:pStyle w:val="Heading3"/>
      </w:pPr>
      <w:bookmarkStart w:id="33" w:name="风语筑700股成本13.2159元"/>
      <w:r>
        <w:t xml:space="preserve">📉 603466 风语筑｜700股｜成本13.2159元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📊 收盘12.96元，按现价计算浮亏1.94%，账面浮亏179.13元；行情为华泰单源。</w:t>
      </w:r>
    </w:p>
    <w:p>
      <w:pPr>
        <w:numPr>
          <w:ilvl w:val="0"/>
          <w:numId w:val="1011"/>
        </w:numPr>
        <w:pStyle w:val="Compact"/>
      </w:pPr>
      <w:r>
        <w:t xml:space="preserve">💡 明日动作：偏弱持仓，反弹无法转强时减仓观察；不以回本价作为唯一决策线。</w:t>
      </w:r>
    </w:p>
    <w:p>
      <w:pPr>
        <w:numPr>
          <w:ilvl w:val="0"/>
          <w:numId w:val="1011"/>
        </w:numPr>
        <w:pStyle w:val="Compact"/>
      </w:pPr>
      <w:r>
        <w:t xml:space="preserve">🚫 离场/减仓条件：数字内容/传媒方向无扩散、个股继续弱于板块，或放量下破后无承接。</w:t>
      </w:r>
    </w:p>
    <w:p>
      <w:pPr>
        <w:numPr>
          <w:ilvl w:val="0"/>
          <w:numId w:val="1011"/>
        </w:numPr>
        <w:pStyle w:val="Compact"/>
      </w:pPr>
      <w:r>
        <w:t xml:space="preserve">✅ 条件加仓：只有网络安全、AI软件或数字内容形成资金共振，且个股重新转强时才考虑小仓参与。</w:t>
      </w:r>
    </w:p>
    <w:p>
      <w:pPr>
        <w:pStyle w:val="Heading3"/>
      </w:pPr>
      <w:bookmarkStart w:id="34" w:name="工商银行1900股成本7.0601元"/>
      <w:r>
        <w:t xml:space="preserve">📈 601398 工商银行｜1900股｜成本7.0601元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📊 收盘8.22元，按现价计算浮盈16.43%，账面浮盈2203.81元；行情为华泰单源。</w:t>
      </w:r>
    </w:p>
    <w:p>
      <w:pPr>
        <w:numPr>
          <w:ilvl w:val="0"/>
          <w:numId w:val="1012"/>
        </w:numPr>
        <w:pStyle w:val="Compact"/>
      </w:pPr>
      <w:r>
        <w:t xml:space="preserve">💡 明日动作：四只持仓中最稳健持有，继续作为防御底仓；不在单源报价基础上追高加仓。</w:t>
      </w:r>
    </w:p>
    <w:p>
      <w:pPr>
        <w:numPr>
          <w:ilvl w:val="0"/>
          <w:numId w:val="1012"/>
        </w:numPr>
        <w:pStyle w:val="Compact"/>
      </w:pPr>
      <w:r>
        <w:t xml:space="preserve">🚫 减仓条件：银行板块由防御转为放量领跌，且个股同步失去相对强度时分批止盈。</w:t>
      </w:r>
    </w:p>
    <w:p>
      <w:pPr>
        <w:numPr>
          <w:ilvl w:val="0"/>
          <w:numId w:val="1012"/>
        </w:numPr>
        <w:pStyle w:val="Compact"/>
      </w:pPr>
      <w:r>
        <w:t xml:space="preserve">✅ 条件加仓：指数风险仍高、银行保持相对强势且报价获得第二来源确认时，才可小幅加仓。</w:t>
      </w:r>
    </w:p>
    <w:p>
      <w:pPr>
        <w:pStyle w:val="Heading3"/>
      </w:pPr>
      <w:bookmarkStart w:id="35" w:name="农业银行5300股成本6.4244元"/>
      <w:r>
        <w:t xml:space="preserve">⚠️ 601288 农业银行｜5300股｜成本6.4244元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🚫 本轮采集JSON未提供农业银行收盘价，无法核算最新盈亏幅度，禁止沿用盘前单源旧价冒充收盘价。</w:t>
      </w:r>
    </w:p>
    <w:p>
      <w:pPr>
        <w:numPr>
          <w:ilvl w:val="0"/>
          <w:numId w:val="1013"/>
        </w:numPr>
        <w:pStyle w:val="Compact"/>
      </w:pPr>
      <w:r>
        <w:t xml:space="preserve">💡 明日动作：暂按防御持仓跟踪，不执行基于虚构价位的加减仓。</w:t>
      </w:r>
    </w:p>
    <w:p>
      <w:pPr>
        <w:numPr>
          <w:ilvl w:val="0"/>
          <w:numId w:val="1013"/>
        </w:numPr>
        <w:pStyle w:val="Compact"/>
      </w:pPr>
      <w:r>
        <w:t xml:space="preserve">🚫 减仓条件：取得可靠行情后，若个股放量转弱并持续弱于银行板块，再考虑分批止盈。</w:t>
      </w:r>
    </w:p>
    <w:p>
      <w:pPr>
        <w:numPr>
          <w:ilvl w:val="0"/>
          <w:numId w:val="1013"/>
        </w:numPr>
        <w:pStyle w:val="Compact"/>
      </w:pPr>
      <w:r>
        <w:t xml:space="preserve">✅ 条件加仓：需先取得最新报价并至少完成第二来源确认，同时银行板块保持相对强势；否则不加仓。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明日展望"/>
      <w:r>
        <w:t xml:space="preserve">🎯 明日展望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📊 指数条件：上证指数先观察3900点能否重新站稳；在未站稳前，结构性轮动优先于指数趋势交易。</w:t>
      </w:r>
    </w:p>
    <w:p>
      <w:pPr>
        <w:numPr>
          <w:ilvl w:val="0"/>
          <w:numId w:val="1014"/>
        </w:numPr>
        <w:pStyle w:val="Compact"/>
      </w:pPr>
      <w:r>
        <w:t xml:space="preserve">🔥 主线延续：PCB/MLCC与网络安全有多只华泰强势样本，明日重点看核心股分歧承接，不看单只股票继续加速。</w:t>
      </w:r>
    </w:p>
    <w:p>
      <w:pPr>
        <w:numPr>
          <w:ilvl w:val="0"/>
          <w:numId w:val="1014"/>
        </w:numPr>
        <w:pStyle w:val="Compact"/>
      </w:pPr>
      <w:r>
        <w:t xml:space="preserve">📈 轮动候选：CRO/创新药、新能源汽车和绿电均有华泰文本与个股线索，但缺少完整板块资金及成交验证，只能放在中低优先级。</w:t>
      </w:r>
    </w:p>
    <w:p>
      <w:pPr>
        <w:numPr>
          <w:ilvl w:val="0"/>
          <w:numId w:val="1014"/>
        </w:numPr>
        <w:pStyle w:val="Compact"/>
      </w:pPr>
      <w:r>
        <w:t xml:space="preserve">📉 回避方向：高位退潮股、ST股、通信/半导体弱势核心和无板块扩散的孤立涨停。</w:t>
      </w:r>
    </w:p>
    <w:p>
      <w:pPr>
        <w:numPr>
          <w:ilvl w:val="0"/>
          <w:numId w:val="1014"/>
        </w:numPr>
        <w:pStyle w:val="Compact"/>
      </w:pPr>
      <w:r>
        <w:t xml:space="preserve">💡 激进型：仓位上限60%，只做高优先级方向的分歧承接，核心股集中炸板即主动降仓。</w:t>
      </w:r>
    </w:p>
    <w:p>
      <w:pPr>
        <w:numPr>
          <w:ilvl w:val="0"/>
          <w:numId w:val="1014"/>
        </w:numPr>
        <w:pStyle w:val="Compact"/>
      </w:pPr>
      <w:r>
        <w:t xml:space="preserve">💡 稳健型：仓位上限45%，等待指数回稳且至少一个方向出现资金、强股和扩散共振后参与。</w:t>
      </w:r>
    </w:p>
    <w:p>
      <w:pPr>
        <w:numPr>
          <w:ilvl w:val="0"/>
          <w:numId w:val="1014"/>
        </w:numPr>
        <w:pStyle w:val="Compact"/>
      </w:pPr>
      <w:r>
        <w:t xml:space="preserve">💡 保守型：仓位上限30%，银行防御底仓为主；资金榜单恢复前不扩大高波动题材仓。</w:t>
      </w:r>
    </w:p>
    <w:p>
      <w:pPr>
        <w:numPr>
          <w:ilvl w:val="0"/>
          <w:numId w:val="1014"/>
        </w:numPr>
        <w:pStyle w:val="Compact"/>
      </w:pPr>
      <w:r>
        <w:t xml:space="preserve">⚠️ 催化剂与公告：本轮没有结构化经济日历、完整公告和全球事件补充，相关事项统一</w:t>
      </w:r>
      <w:r>
        <w:t xml:space="preserve">“</w:t>
      </w:r>
      <w:r>
        <w:t xml:space="preserve">未核验</w:t>
      </w:r>
      <w:r>
        <w:t xml:space="preserve">”</w:t>
      </w:r>
      <w:r>
        <w:t xml:space="preserve">，不据此提前押注。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明日投资方向排序"/>
      <w:r>
        <w:t xml:space="preserve">🎯 明日投资方向排序</w:t>
      </w:r>
      <w:bookmarkEnd w:id="37"/>
    </w:p>
    <w:p>
      <w:pPr>
        <w:pStyle w:val="Heading3"/>
      </w:pPr>
      <w:bookmarkStart w:id="38" w:name="方向一pcb印制电路板高端电子材料优先级高"/>
      <w:r>
        <w:t xml:space="preserve">🚀 方向一：PCB—印制电路板/高端电子材料（优先级：高）</w:t>
      </w:r>
      <w:bookmarkEnd w:id="38"/>
    </w:p>
    <w:p>
      <w:pPr>
        <w:numPr>
          <w:ilvl w:val="0"/>
          <w:numId w:val="1015"/>
        </w:numPr>
        <w:pStyle w:val="Compact"/>
      </w:pPr>
      <w:r>
        <w:t xml:space="preserve">📌 证据链：华泰条件样本中满坤科技涨20.00%、净流入1.20亿元，科翔股份涨20.00%、净流入3.32亿元，威尔高涨11.29%、净流入6856.96万元；华泰盘面文本另提到超声电子、双星新材、康达新材等强势股，方向内样本数量最多。</w:t>
      </w:r>
    </w:p>
    <w:p>
      <w:pPr>
        <w:numPr>
          <w:ilvl w:val="0"/>
          <w:numId w:val="1015"/>
        </w:numPr>
        <w:pStyle w:val="Compact"/>
      </w:pPr>
      <w:r>
        <w:t xml:space="preserve">🔥 核心标的：科翔股份（样本内资金规模最大）、满坤科技（20%涨幅辨识度）、威尔高（补涨样本）；超声电子仅作华泰文本观察线索。</w:t>
      </w:r>
    </w:p>
    <w:p>
      <w:pPr>
        <w:numPr>
          <w:ilvl w:val="0"/>
          <w:numId w:val="1015"/>
        </w:numPr>
        <w:pStyle w:val="Compact"/>
      </w:pPr>
      <w:r>
        <w:t xml:space="preserve">💡 参与策略：激进做核心分歧承接；稳健等板块出现多股同步回流；保守只观察，不追20%涨停后的加速。</w:t>
      </w:r>
    </w:p>
    <w:p>
      <w:pPr>
        <w:numPr>
          <w:ilvl w:val="0"/>
          <w:numId w:val="1015"/>
        </w:numPr>
        <w:pStyle w:val="Compact"/>
      </w:pPr>
      <w:r>
        <w:t xml:space="preserve">✅ 触发条件：科翔股份、满坤科技至少一只保持强承接，并有威尔高或其他PCB股同步走强；资金榜单恢复后板块净流入为正可增强置信度。</w:t>
      </w:r>
    </w:p>
    <w:p>
      <w:pPr>
        <w:numPr>
          <w:ilvl w:val="0"/>
          <w:numId w:val="1015"/>
        </w:numPr>
        <w:pStyle w:val="Compact"/>
      </w:pPr>
      <w:r>
        <w:t xml:space="preserve">🚫 失效条件：核心股集中低开低走或炸板，科技指数继续下探并拖累PCB，或恢复的数据确认板块资金转为净流出。</w:t>
      </w:r>
    </w:p>
    <w:p>
      <w:pPr>
        <w:numPr>
          <w:ilvl w:val="0"/>
          <w:numId w:val="1015"/>
        </w:numPr>
        <w:pStyle w:val="Compact"/>
      </w:pPr>
      <w:r>
        <w:t xml:space="preserve">⚠️ 风险：板块涨幅、成交额和正式涨停榜单未核验，目前主要依赖华泰单一补充来源。</w:t>
      </w:r>
    </w:p>
    <w:p>
      <w:pPr>
        <w:pStyle w:val="Heading3"/>
      </w:pPr>
      <w:bookmarkStart w:id="39" w:name="方向二网络安全安全软件数据安全优先级中"/>
      <w:r>
        <w:t xml:space="preserve">🌐 方向二：网络安全—安全软件/数据安全（优先级：中）</w:t>
      </w:r>
      <w:bookmarkEnd w:id="39"/>
    </w:p>
    <w:p>
      <w:pPr>
        <w:numPr>
          <w:ilvl w:val="0"/>
          <w:numId w:val="1016"/>
        </w:numPr>
        <w:pStyle w:val="Compact"/>
      </w:pPr>
      <w:r>
        <w:t xml:space="preserve">📌 证据链：绿盟科技涨10.90%、净流入4498.59万元，亚信安全涨10.40%、净流入636.78万元；华泰文本另称中新赛克、永信至诚强势，并给出网络安全事件催化线索。</w:t>
      </w:r>
    </w:p>
    <w:p>
      <w:pPr>
        <w:numPr>
          <w:ilvl w:val="0"/>
          <w:numId w:val="1016"/>
        </w:numPr>
        <w:pStyle w:val="Compact"/>
      </w:pPr>
      <w:r>
        <w:t xml:space="preserve">🔥 核心标的：绿盟科技（涨幅与资金共振样本）、亚信安全（科创板弹性样本）；中新赛克、永信至诚只作文本线索，不补写未核验价格。</w:t>
      </w:r>
    </w:p>
    <w:p>
      <w:pPr>
        <w:numPr>
          <w:ilvl w:val="0"/>
          <w:numId w:val="1016"/>
        </w:numPr>
        <w:pStyle w:val="Compact"/>
      </w:pPr>
      <w:r>
        <w:t xml:space="preserve">💡 参与策略：激进只做龙头换手后的回封；稳健等待软件与安全方向同步扩散；保守等待资金榜单恢复。</w:t>
      </w:r>
    </w:p>
    <w:p>
      <w:pPr>
        <w:numPr>
          <w:ilvl w:val="0"/>
          <w:numId w:val="1016"/>
        </w:numPr>
        <w:pStyle w:val="Compact"/>
      </w:pPr>
      <w:r>
        <w:t xml:space="preserve">✅ 触发条件：绿盟科技保持强势且至少一只安全软件股同步走强，板块不是单日事件脉冲。</w:t>
      </w:r>
    </w:p>
    <w:p>
      <w:pPr>
        <w:numPr>
          <w:ilvl w:val="0"/>
          <w:numId w:val="1016"/>
        </w:numPr>
        <w:pStyle w:val="Compact"/>
      </w:pPr>
      <w:r>
        <w:t xml:space="preserve">🚫 失效条件：绿盟科技冲高回落、板块扩散失败，或事件热度消退后资金转负。</w:t>
      </w:r>
    </w:p>
    <w:p>
      <w:pPr>
        <w:numPr>
          <w:ilvl w:val="0"/>
          <w:numId w:val="1016"/>
        </w:numPr>
        <w:pStyle w:val="Compact"/>
      </w:pPr>
      <w:r>
        <w:t xml:space="preserve">⚠️ 风险：亚信安全净流入仅636.78万元，资金强度偏弱；事件型题材存在一日游风险。</w:t>
      </w:r>
    </w:p>
    <w:p>
      <w:pPr>
        <w:pStyle w:val="Heading3"/>
      </w:pPr>
      <w:bookmarkStart w:id="40" w:name="方向三cro创新药医疗服务与研发外包优先级中"/>
      <w:r>
        <w:t xml:space="preserve">📈 方向三：CRO/创新药—医疗服务与研发外包（优先级：中）</w:t>
      </w:r>
      <w:bookmarkEnd w:id="40"/>
    </w:p>
    <w:p>
      <w:pPr>
        <w:numPr>
          <w:ilvl w:val="0"/>
          <w:numId w:val="1017"/>
        </w:numPr>
        <w:pStyle w:val="Compact"/>
      </w:pPr>
      <w:r>
        <w:t xml:space="preserve">📌 证据链：华泰文本称万邦医药、近岸蛋白出现20CM涨停，药明康德放量上涨，并称医药获得主力净流入；但本地板块榜单、精确金额和涨停样本均缺失。</w:t>
      </w:r>
    </w:p>
    <w:p>
      <w:pPr>
        <w:numPr>
          <w:ilvl w:val="0"/>
          <w:numId w:val="1017"/>
        </w:numPr>
        <w:pStyle w:val="Compact"/>
      </w:pPr>
      <w:r>
        <w:t xml:space="preserve">🔥 核心标的：万邦医药、近岸蛋白（高弹性线索）、药明康德（容量中军线索）；均需明日用实时行情重新确认。</w:t>
      </w:r>
    </w:p>
    <w:p>
      <w:pPr>
        <w:numPr>
          <w:ilvl w:val="0"/>
          <w:numId w:val="1017"/>
        </w:numPr>
        <w:pStyle w:val="Compact"/>
      </w:pPr>
      <w:r>
        <w:t xml:space="preserve">💡 参与策略：激进只参与换手充分的前排；稳健等待容量核心与高弹性股同步走强；保守等待板块净流入金额可核验。</w:t>
      </w:r>
    </w:p>
    <w:p>
      <w:pPr>
        <w:numPr>
          <w:ilvl w:val="0"/>
          <w:numId w:val="1017"/>
        </w:numPr>
        <w:pStyle w:val="Compact"/>
      </w:pPr>
      <w:r>
        <w:t xml:space="preserve">✅ 触发条件：CRO与创新药同步走强，药明康德不拖累，且涨停股未出现集中开板。</w:t>
      </w:r>
    </w:p>
    <w:p>
      <w:pPr>
        <w:numPr>
          <w:ilvl w:val="0"/>
          <w:numId w:val="1017"/>
        </w:numPr>
        <w:pStyle w:val="Compact"/>
      </w:pPr>
      <w:r>
        <w:t xml:space="preserve">🚫 失效条件：高弹性股快速炸板、容量核心转弱，或恢复的数据确认医药资金转为净流出。</w:t>
      </w:r>
    </w:p>
    <w:p>
      <w:pPr>
        <w:numPr>
          <w:ilvl w:val="0"/>
          <w:numId w:val="1017"/>
        </w:numPr>
        <w:pStyle w:val="Compact"/>
      </w:pPr>
      <w:r>
        <w:t xml:space="preserve">⚠️ 风险：本方向具体证据主要来自华泰文本，缺乏第二结构化来源，置信度低于PCB方向。</w:t>
      </w:r>
    </w:p>
    <w:p>
      <w:pPr>
        <w:pStyle w:val="Heading3"/>
      </w:pPr>
      <w:bookmarkStart w:id="41" w:name="方向四新能源汽车整车智能网联优先级观察"/>
      <w:r>
        <w:t xml:space="preserve">🚗 方向四：新能源汽车—整车/智能网联（优先级：观察）</w:t>
      </w:r>
      <w:bookmarkEnd w:id="41"/>
    </w:p>
    <w:p>
      <w:pPr>
        <w:numPr>
          <w:ilvl w:val="0"/>
          <w:numId w:val="1018"/>
        </w:numPr>
        <w:pStyle w:val="Compact"/>
      </w:pPr>
      <w:r>
        <w:t xml:space="preserve">📌 证据链：安凯客车3.91元、涨10.14%、净流入2548.62万元；华泰文本另提到众泰汽车、海马汽车强势，并给出智能网联新能源汽车政策催化线索。</w:t>
      </w:r>
    </w:p>
    <w:p>
      <w:pPr>
        <w:numPr>
          <w:ilvl w:val="0"/>
          <w:numId w:val="1018"/>
        </w:numPr>
        <w:pStyle w:val="Compact"/>
      </w:pPr>
      <w:r>
        <w:t xml:space="preserve">🔥 核心标的：安凯客车（可核验的华泰条件样本）；众泰汽车、海马汽车仅作文本观察线索。</w:t>
      </w:r>
    </w:p>
    <w:p>
      <w:pPr>
        <w:numPr>
          <w:ilvl w:val="0"/>
          <w:numId w:val="1018"/>
        </w:numPr>
        <w:pStyle w:val="Compact"/>
      </w:pPr>
      <w:r>
        <w:t xml:space="preserve">💡 参与策略：只观察板块扩散，不追单一整车涨停；稳健与保守资金等待板块成交和资金数据恢复。</w:t>
      </w:r>
    </w:p>
    <w:p>
      <w:pPr>
        <w:numPr>
          <w:ilvl w:val="0"/>
          <w:numId w:val="1018"/>
        </w:numPr>
        <w:pStyle w:val="Compact"/>
      </w:pPr>
      <w:r>
        <w:t xml:space="preserve">✅ 触发条件：安凯客车保持强势，且至少两只整车或智能网联个股同步走强。</w:t>
      </w:r>
    </w:p>
    <w:p>
      <w:pPr>
        <w:numPr>
          <w:ilvl w:val="0"/>
          <w:numId w:val="1018"/>
        </w:numPr>
        <w:pStyle w:val="Compact"/>
      </w:pPr>
      <w:r>
        <w:t xml:space="preserve">🚫 失效条件：安凯客车开板后无法回封，或板块仅剩单票脉冲。</w:t>
      </w:r>
    </w:p>
    <w:p>
      <w:pPr>
        <w:numPr>
          <w:ilvl w:val="0"/>
          <w:numId w:val="1018"/>
        </w:numPr>
        <w:pStyle w:val="Compact"/>
      </w:pPr>
      <w:r>
        <w:t xml:space="preserve">⚠️ 风险：政策映射来自华泰文本，正式板块涨幅与资金榜单缺失。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数据质量与执行纪律"/>
      <w:r>
        <w:t xml:space="preserve">⚠️ 数据质量与执行纪律</w:t>
      </w:r>
      <w:bookmarkEnd w:id="42"/>
    </w:p>
    <w:p>
      <w:pPr>
        <w:numPr>
          <w:ilvl w:val="0"/>
          <w:numId w:val="1019"/>
        </w:numPr>
        <w:pStyle w:val="Compact"/>
      </w:pPr>
      <w:r>
        <w:t xml:space="preserve">📊 关键源覆盖3/7，覆盖率0.4286；可用关键项为指数、同花顺市场广度和同花顺全市场成交额，另有华泰补充数据与午盘缓存。</w:t>
      </w:r>
    </w:p>
    <w:p>
      <w:pPr>
        <w:numPr>
          <w:ilvl w:val="0"/>
          <w:numId w:val="1019"/>
        </w:numPr>
        <w:pStyle w:val="Compact"/>
      </w:pPr>
      <w:r>
        <w:t xml:space="preserve">🔵 指数行情经新浪、东方财富、腾讯三源交叉验证；市场广度和成交额均为同花顺单源，可正常使用但已标注单源。</w:t>
      </w:r>
    </w:p>
    <w:p>
      <w:pPr>
        <w:numPr>
          <w:ilvl w:val="0"/>
          <w:numId w:val="1019"/>
        </w:numPr>
        <w:pStyle w:val="Compact"/>
      </w:pPr>
      <w:r>
        <w:t xml:space="preserve">💰 成交额比较口径为</w:t>
      </w:r>
      <w:r>
        <w:rPr>
          <w:rStyle w:val="VerbatimChar"/>
        </w:rPr>
        <w:t xml:space="preserve">unverified</w:t>
      </w:r>
      <w:r>
        <w:t xml:space="preserve">，正文只引用16429.81亿元、19869.53亿元原始金额，不计算变化百分比。</w:t>
      </w:r>
    </w:p>
    <w:p>
      <w:pPr>
        <w:numPr>
          <w:ilvl w:val="0"/>
          <w:numId w:val="1019"/>
        </w:numPr>
        <w:pStyle w:val="Compact"/>
      </w:pPr>
      <w:r>
        <w:t xml:space="preserve">🚫</w:t>
      </w:r>
      <w:r>
        <w:t xml:space="preserve"> </w:t>
      </w:r>
      <w:r>
        <w:rPr>
          <w:rStyle w:val="VerbatimChar"/>
        </w:rPr>
        <w:t xml:space="preserve">money_flow</w:t>
      </w:r>
      <w:r>
        <w:t xml:space="preserve">、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active_stocks</w:t>
      </w:r>
      <w:r>
        <w:t xml:space="preserve">、</w:t>
      </w:r>
      <w:r>
        <w:rPr>
          <w:rStyle w:val="VerbatimChar"/>
        </w:rPr>
        <w:t xml:space="preserve">limit_stocks</w:t>
      </w:r>
      <w:r>
        <w:t xml:space="preserve">、</w:t>
      </w:r>
      <w:r>
        <w:rPr>
          <w:rStyle w:val="VerbatimChar"/>
        </w:rPr>
        <w:t xml:space="preserve">stock_quote_cross_checks</w:t>
      </w:r>
      <w:r>
        <w:t xml:space="preserve">均因HTTP 502不可用；资金流入TOP10、资金流出TOP10、领涨TOP10、领跌TOP5和正式TOP20龙头榜单均未核验。</w:t>
      </w:r>
    </w:p>
    <w:p>
      <w:pPr>
        <w:numPr>
          <w:ilvl w:val="0"/>
          <w:numId w:val="1019"/>
        </w:numPr>
        <w:pStyle w:val="Compact"/>
      </w:pPr>
      <w:r>
        <w:t xml:space="preserve">🔴 华泰数据仅作为补充来源，未覆盖本地结构化数值；缺少第二来源的个股与板块判断均采用条件式策略。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生成时间：2026-09-14 15:17（北京时间，Asia/Shanghai）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2026-09-14T07:22:05Z</dcterms:created>
  <dcterms:modified xsi:type="dcterms:W3CDTF">2026-09-14T07:22:05Z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