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盘前简报-2026-09-11周五"/>
      <w:r>
        <w:t xml:space="preserve">🌅 盘前简报 | 2026-09-11（周五）</w:t>
      </w:r>
      <w:bookmarkEnd w:id="20"/>
    </w:p>
    <w:p>
      <w:pPr>
        <w:pStyle w:val="Heading2"/>
      </w:pPr>
      <w:bookmarkStart w:id="21" w:name="数据质量与盘前结论"/>
      <w:r>
        <w:t xml:space="preserve">📊 数据质量与盘前结论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📉 昨日上证指数收于 3934.4036 点，跌 0.4328%；深证成指 13617.67 点，跌 0.7699%；创业板指 3338.422 点，跌 0.4932%。三项指数经新浪、东方财富、腾讯交叉校验一致。</w:t>
      </w:r>
    </w:p>
    <w:p>
      <w:pPr>
        <w:numPr>
          <w:ilvl w:val="0"/>
          <w:numId w:val="1001"/>
        </w:numPr>
        <w:pStyle w:val="Compact"/>
      </w:pPr>
      <w:r>
        <w:t xml:space="preserve">🟢 同花顺单源显示：上涨 955 家、下跌 4512 家、平盘 82 家、涨停 40 家、跌停 13 家；赚钱效应偏弱。</w:t>
      </w:r>
    </w:p>
    <w:p>
      <w:pPr>
        <w:numPr>
          <w:ilvl w:val="0"/>
          <w:numId w:val="1001"/>
        </w:numPr>
        <w:pStyle w:val="Compact"/>
      </w:pPr>
      <w:r>
        <w:t xml:space="preserve">💰 同花顺单源确认昨日全市场成交额 16623.37 亿元、前一日成交额 18730.67 亿元；因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，不使用成交额变化百分比。</w:t>
      </w:r>
    </w:p>
    <w:p>
      <w:pPr>
        <w:numPr>
          <w:ilvl w:val="0"/>
          <w:numId w:val="1001"/>
        </w:numPr>
        <w:pStyle w:val="Compact"/>
      </w:pPr>
      <w:r>
        <w:t xml:space="preserve">⚠️ 关键源覆盖率仅 3/7（42.86%）：资金流、板块表现、活跃个股、涨跌停样本均缺失或不可用，今日方向只能按</w:t>
      </w:r>
      <w:r>
        <w:t xml:space="preserve">“</w:t>
      </w:r>
      <w:r>
        <w:t xml:space="preserve">政策/事件预案</w:t>
      </w:r>
      <w:r>
        <w:t xml:space="preserve">”</w:t>
      </w:r>
      <w:r>
        <w:t xml:space="preserve">处理，开盘后须用真实资金与板块数据二次确认。</w:t>
      </w:r>
    </w:p>
    <w:p>
      <w:pPr>
        <w:numPr>
          <w:ilvl w:val="0"/>
          <w:numId w:val="1001"/>
        </w:numPr>
        <w:pStyle w:val="Compact"/>
      </w:pPr>
      <w:r>
        <w:t xml:space="preserve">💡 派生市场风格为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；仓位上限参考：激进 40%、均衡 25%、保守 10%。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隔夜全球市场"/>
      <w:r>
        <w:t xml:space="preserve">🌐 隔夜全球市场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📉 富时中国 A50 期指报 14512.6，跌 0.66%；对 A 股开盘情绪偏压制。</w:t>
      </w:r>
    </w:p>
    <w:p>
      <w:pPr>
        <w:numPr>
          <w:ilvl w:val="0"/>
          <w:numId w:val="1002"/>
        </w:numPr>
        <w:pStyle w:val="Compact"/>
      </w:pPr>
      <w:r>
        <w:t xml:space="preserve">📉 9 月 10 日恒生指数收于 25274.961 点，跌 1.27%。采集时港股尚未开盘，不写</w:t>
      </w:r>
      <w:r>
        <w:t xml:space="preserve">“</w:t>
      </w:r>
      <w:r>
        <w:t xml:space="preserve">港股早盘</w:t>
      </w:r>
      <w:r>
        <w:t xml:space="preserve">”</w:t>
      </w:r>
      <w:r>
        <w:t xml:space="preserve">实况。</w:t>
      </w:r>
    </w:p>
    <w:p>
      <w:pPr>
        <w:numPr>
          <w:ilvl w:val="0"/>
          <w:numId w:val="1002"/>
        </w:numPr>
        <w:pStyle w:val="Compact"/>
      </w:pPr>
      <w:r>
        <w:t xml:space="preserve">💱 美元离岸人民币报 6.7139，变动 -0.01%，汇率波动温和。</w:t>
      </w:r>
    </w:p>
    <w:p>
      <w:pPr>
        <w:numPr>
          <w:ilvl w:val="0"/>
          <w:numId w:val="1002"/>
        </w:numPr>
        <w:pStyle w:val="Compact"/>
      </w:pPr>
      <w:r>
        <w:t xml:space="preserve">🛢️ WTI 原油报 102.965，涨 0.47%；央视报道布伦特原油期货已突破每桶 100 美元，中东风险继续抬升能源与通胀交易权重。</w:t>
      </w:r>
    </w:p>
    <w:p>
      <w:pPr>
        <w:numPr>
          <w:ilvl w:val="0"/>
          <w:numId w:val="1002"/>
        </w:numPr>
        <w:pStyle w:val="Compact"/>
      </w:pPr>
      <w:r>
        <w:t xml:space="preserve">📉 COMEX 黄金报 4364.36，跌 0.97%；伦铜报 14187.38，跌 0.32%。</w:t>
      </w:r>
    </w:p>
    <w:p>
      <w:pPr>
        <w:numPr>
          <w:ilvl w:val="0"/>
          <w:numId w:val="1002"/>
        </w:numPr>
        <w:pStyle w:val="Compact"/>
      </w:pPr>
      <w:r>
        <w:t xml:space="preserve">⚠️ 美股三大指数、重点中概股和欧洲主要指数的结构化具体数值未进入采集 JSON，本报告不引用华泰文本中的未交叉核验数值，统一标记为未核验。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新闻联播政策面"/>
      <w:r>
        <w:t xml:space="preserve">📺 新闻联播政策面</w:t>
      </w:r>
      <w:bookmarkEnd w:id="23"/>
    </w:p>
    <w:p>
      <w:pPr>
        <w:pStyle w:val="Heading3"/>
      </w:pPr>
      <w:bookmarkStart w:id="24" w:name="总体分析"/>
      <w:r>
        <w:t xml:space="preserve">📌 总体分析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🔴 9 月 10 日央视《新闻联播》共 15 条目录、15 条详情全部采集成功，来源为央视网，采集时间 2026-09-11 08:30:06+08:00。</w:t>
      </w:r>
    </w:p>
    <w:p>
      <w:pPr>
        <w:numPr>
          <w:ilvl w:val="0"/>
          <w:numId w:val="1003"/>
        </w:numPr>
        <w:pStyle w:val="Compact"/>
      </w:pPr>
      <w:r>
        <w:t xml:space="preserve">🚀 最具直接产业映射的是信息通信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规划：到 2030 年信息基础设施累计投资 3.8 万亿元、智能算力规模达每秒 9800 百亿亿次浮点运算、5G（含 5G-A）用户普及率达 95%，构成通信设备、算力基础设施、6G 的实质政策催化。</w:t>
      </w:r>
    </w:p>
    <w:p>
      <w:pPr>
        <w:numPr>
          <w:ilvl w:val="0"/>
          <w:numId w:val="1003"/>
        </w:numPr>
        <w:pStyle w:val="Compact"/>
      </w:pPr>
      <w:r>
        <w:t xml:space="preserve">💰 金融强国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规划已出台，资本市场投融资改革、重大工程融资和金融开放有望稳定银行、券商及金融基础设施预期，但短线强度仍须成交与资金流确认。</w:t>
      </w:r>
    </w:p>
    <w:p>
      <w:pPr>
        <w:numPr>
          <w:ilvl w:val="0"/>
          <w:numId w:val="1003"/>
        </w:numPr>
        <w:pStyle w:val="Compact"/>
      </w:pPr>
      <w:r>
        <w:t xml:space="preserve">⚠️ 青岛船厂货轮火灾强化安全生产检查预期；造船、港口、危化及高风险工业企业或面临阶段性安监扰动，消防检测与安全生产服务可能获得关注。</w:t>
      </w:r>
    </w:p>
    <w:p>
      <w:pPr>
        <w:numPr>
          <w:ilvl w:val="0"/>
          <w:numId w:val="1003"/>
        </w:numPr>
        <w:pStyle w:val="Compact"/>
      </w:pPr>
      <w:r>
        <w:t xml:space="preserve">🛢️ 美伊冲突、霍尔木兹海峡风险及布伦特原油突破 100 美元，是今日最明确的外部冲击：上游油气受益，但航空、化工下游、物流及高耗能制造承压。</w:t>
      </w:r>
    </w:p>
    <w:p>
      <w:pPr>
        <w:numPr>
          <w:ilvl w:val="0"/>
          <w:numId w:val="1003"/>
        </w:numPr>
        <w:pStyle w:val="Compact"/>
      </w:pPr>
      <w:r>
        <w:t xml:space="preserve">🌍 金砖会晤、服贸会、外资项目和贸易韧性释放开放合作信号，但今日仍以盘面验证为准，不把政策新闻直接等同于股价上涨。</w:t>
      </w:r>
    </w:p>
    <w:p>
      <w:pPr>
        <w:pStyle w:val="Heading3"/>
      </w:pPr>
      <w:bookmarkStart w:id="25" w:name="逐条新闻解读"/>
      <w:r>
        <w:t xml:space="preserve">📰 逐条新闻解读</w:t>
      </w:r>
      <w:bookmarkEnd w:id="25"/>
    </w:p>
    <w:p>
      <w:pPr>
        <w:pStyle w:val="Heading4"/>
      </w:pPr>
      <w:bookmarkStart w:id="26" w:name="X56b10ad0c031e85ad1bf45fb5ba0318f0613503"/>
      <w:r>
        <w:t xml:space="preserve">习近平对山东青岛市北海造船厂一货轮火灾事故作出重要指示强调 深入排查整治各类火灾隐患 落实落细防范措施 坚决遏制重特大事故发生 李强作出批示</w:t>
      </w:r>
      <w:bookmarkEnd w:id="26"/>
    </w:p>
    <w:p>
      <w:pPr>
        <w:numPr>
          <w:ilvl w:val="0"/>
          <w:numId w:val="1004"/>
        </w:numPr>
        <w:pStyle w:val="Compact"/>
      </w:pPr>
      <w:r>
        <w:t xml:space="preserve">A股影响：中性偏分化</w:t>
      </w:r>
    </w:p>
    <w:p>
      <w:pPr>
        <w:numPr>
          <w:ilvl w:val="0"/>
          <w:numId w:val="1004"/>
        </w:numPr>
        <w:pStyle w:val="Compact"/>
      </w:pPr>
      <w:r>
        <w:t xml:space="preserve">相关板块：消防设备、安全检测、工业安全；造船、港口高风险作业</w:t>
      </w:r>
    </w:p>
    <w:p>
      <w:pPr>
        <w:numPr>
          <w:ilvl w:val="0"/>
          <w:numId w:val="1004"/>
        </w:numPr>
        <w:pStyle w:val="Compact"/>
      </w:pPr>
      <w:r>
        <w:t xml:space="preserve">核心解读：安全生产排查力度预计提升，安全设备与检测服务存在事件驱动，涉事故产业链可能承受检查和停工扰动。</w:t>
      </w:r>
    </w:p>
    <w:p>
      <w:pPr>
        <w:numPr>
          <w:ilvl w:val="0"/>
          <w:numId w:val="1004"/>
        </w:numPr>
        <w:pStyle w:val="Compact"/>
      </w:pPr>
      <w:r>
        <w:t xml:space="preserve">验证条件：消防安全板块出现放量联动方可确认；若仅个股脉冲、无板块成交配合则失效。</w:t>
      </w:r>
    </w:p>
    <w:p>
      <w:pPr>
        <w:pStyle w:val="Heading4"/>
      </w:pPr>
      <w:bookmarkStart w:id="27" w:name="习近平将赴印度出席金砖国家领导人第十八次会晤"/>
      <w:r>
        <w:t xml:space="preserve">习近平将赴印度出席金砖国家领导人第十八次会晤</w:t>
      </w:r>
      <w:bookmarkEnd w:id="27"/>
    </w:p>
    <w:p>
      <w:pPr>
        <w:numPr>
          <w:ilvl w:val="0"/>
          <w:numId w:val="1005"/>
        </w:numPr>
        <w:pStyle w:val="Compact"/>
      </w:pPr>
      <w:r>
        <w:t xml:space="preserve">A股影响：偏利好</w:t>
      </w:r>
    </w:p>
    <w:p>
      <w:pPr>
        <w:numPr>
          <w:ilvl w:val="0"/>
          <w:numId w:val="1005"/>
        </w:numPr>
        <w:pStyle w:val="Compact"/>
      </w:pPr>
      <w:r>
        <w:t xml:space="preserve">相关板块：跨境贸易、工程机械、港口物流、人民币国际化</w:t>
      </w:r>
    </w:p>
    <w:p>
      <w:pPr>
        <w:numPr>
          <w:ilvl w:val="0"/>
          <w:numId w:val="1005"/>
        </w:numPr>
        <w:pStyle w:val="Compact"/>
      </w:pPr>
      <w:r>
        <w:t xml:space="preserve">核心解读：9 月 12 日至 13 日会晤提供贸易合作预期，但尚无具体项目清单，政策力度暂属重要外交事件而非已落地订单。</w:t>
      </w:r>
    </w:p>
    <w:p>
      <w:pPr>
        <w:numPr>
          <w:ilvl w:val="0"/>
          <w:numId w:val="1005"/>
        </w:numPr>
        <w:pStyle w:val="Compact"/>
      </w:pPr>
      <w:r>
        <w:t xml:space="preserve">验证条件：关注会晤成果、订单公告和跨境贸易板块资金共振；无实质成果则题材效应减弱。</w:t>
      </w:r>
    </w:p>
    <w:p>
      <w:pPr>
        <w:pStyle w:val="Heading4"/>
      </w:pPr>
      <w:bookmarkStart w:id="28" w:name="新思想引领新征程大力弘扬教育家精神-书写教育强国时代新篇"/>
      <w:r>
        <w:t xml:space="preserve">【新思想引领新征程】大力弘扬教育家精神 书写教育强国时代新篇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A股影响：中性偏利好</w:t>
      </w:r>
    </w:p>
    <w:p>
      <w:pPr>
        <w:numPr>
          <w:ilvl w:val="0"/>
          <w:numId w:val="1006"/>
        </w:numPr>
        <w:pStyle w:val="Compact"/>
      </w:pPr>
      <w:r>
        <w:t xml:space="preserve">相关板块：教育信息化、职业教育、教育数字化</w:t>
      </w:r>
    </w:p>
    <w:p>
      <w:pPr>
        <w:numPr>
          <w:ilvl w:val="0"/>
          <w:numId w:val="1006"/>
        </w:numPr>
        <w:pStyle w:val="Compact"/>
      </w:pPr>
      <w:r>
        <w:t xml:space="preserve">核心解读：教师培训、数字素养和教育资源均衡具中长期政策支撑，但新闻未给出新增资本开支安排。</w:t>
      </w:r>
    </w:p>
    <w:p>
      <w:pPr>
        <w:numPr>
          <w:ilvl w:val="0"/>
          <w:numId w:val="1006"/>
        </w:numPr>
        <w:pStyle w:val="Compact"/>
      </w:pPr>
      <w:r>
        <w:t xml:space="preserve">验证条件：需观察教育数字化订单、财政投入或板块成交放大；缺乏增量政策时以主题观察为主。</w:t>
      </w:r>
    </w:p>
    <w:p>
      <w:pPr>
        <w:pStyle w:val="Heading4"/>
      </w:pPr>
      <w:bookmarkStart w:id="29" w:name="十五五开好局起好步锚定金融强国建设-服务经济高质量发展"/>
      <w:r>
        <w:t xml:space="preserve">【</w:t>
      </w:r>
      <w:r>
        <w:t xml:space="preserve">“</w:t>
      </w:r>
      <w:r>
        <w:t xml:space="preserve">十五五</w:t>
      </w:r>
      <w:r>
        <w:t xml:space="preserve">”</w:t>
      </w:r>
      <w:r>
        <w:t xml:space="preserve">开好局起好步】锚定金融强国建设 服务经济高质量发展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A股影响：利好</w:t>
      </w:r>
    </w:p>
    <w:p>
      <w:pPr>
        <w:numPr>
          <w:ilvl w:val="0"/>
          <w:numId w:val="1007"/>
        </w:numPr>
        <w:pStyle w:val="Compact"/>
      </w:pPr>
      <w:r>
        <w:t xml:space="preserve">相关板块：银行、券商、金融科技、重大工程融资</w:t>
      </w:r>
    </w:p>
    <w:p>
      <w:pPr>
        <w:numPr>
          <w:ilvl w:val="0"/>
          <w:numId w:val="1007"/>
        </w:numPr>
        <w:pStyle w:val="Compact"/>
      </w:pPr>
      <w:r>
        <w:t xml:space="preserve">核心解读：《金融强国建设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规划》正式出台，央行配套 9 份行动方案，证监会明确深化投融资综合改革，属于实质规划信号；短期偏稳定风险偏好，中期利于金融体系扩容提质。</w:t>
      </w:r>
    </w:p>
    <w:p>
      <w:pPr>
        <w:numPr>
          <w:ilvl w:val="0"/>
          <w:numId w:val="1007"/>
        </w:numPr>
        <w:pStyle w:val="Compact"/>
      </w:pPr>
      <w:r>
        <w:t xml:space="preserve">验证条件：银行与券商需同步放量、指数止跌且资金持续流入；若金融权重冲高回落、指数继续破位，则短线映射失效。</w:t>
      </w:r>
    </w:p>
    <w:p>
      <w:pPr>
        <w:pStyle w:val="Heading4"/>
      </w:pPr>
      <w:bookmarkStart w:id="30" w:name="新技术新成果集中亮相2026年服贸会"/>
      <w:r>
        <w:t xml:space="preserve">新技术新成果集中亮相2026年服贸会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A股影响：偏利好</w:t>
      </w:r>
    </w:p>
    <w:p>
      <w:pPr>
        <w:numPr>
          <w:ilvl w:val="0"/>
          <w:numId w:val="1008"/>
        </w:numPr>
        <w:pStyle w:val="Compact"/>
      </w:pPr>
      <w:r>
        <w:t xml:space="preserve">相关板块：具身智能、机器人、智慧物流、AI+医疗/教育/文旅</w:t>
      </w:r>
    </w:p>
    <w:p>
      <w:pPr>
        <w:numPr>
          <w:ilvl w:val="0"/>
          <w:numId w:val="1008"/>
        </w:numPr>
        <w:pStyle w:val="Compact"/>
      </w:pPr>
      <w:r>
        <w:t xml:space="preserve">核心解读：230 余项新产品新成果、100 多项首发首展强化 AI+服务和机器人应用预期，但展会热度不等于订单兑现。</w:t>
      </w:r>
    </w:p>
    <w:p>
      <w:pPr>
        <w:numPr>
          <w:ilvl w:val="0"/>
          <w:numId w:val="1008"/>
        </w:numPr>
        <w:pStyle w:val="Compact"/>
      </w:pPr>
      <w:r>
        <w:t xml:space="preserve">验证条件：观察机器人及 AI 应用板块成交、订单公告与龙头承接；高开低走则不追。</w:t>
      </w:r>
    </w:p>
    <w:p>
      <w:pPr>
        <w:pStyle w:val="Heading4"/>
      </w:pPr>
      <w:bookmarkStart w:id="31" w:name="今年全国新增84个重点外资项目"/>
      <w:r>
        <w:t xml:space="preserve">今年全国新增84个重点外资项目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A股影响：偏利好</w:t>
      </w:r>
    </w:p>
    <w:p>
      <w:pPr>
        <w:numPr>
          <w:ilvl w:val="0"/>
          <w:numId w:val="1009"/>
        </w:numPr>
        <w:pStyle w:val="Compact"/>
      </w:pPr>
      <w:r>
        <w:t xml:space="preserve">相关板块：机电装备、化工能源、汽车、医疗健康</w:t>
      </w:r>
    </w:p>
    <w:p>
      <w:pPr>
        <w:numPr>
          <w:ilvl w:val="0"/>
          <w:numId w:val="1009"/>
        </w:numPr>
        <w:pStyle w:val="Compact"/>
      </w:pPr>
      <w:r>
        <w:t xml:space="preserve">核心解读：84 个项目、总投资 194.6 亿美元，显示重点外资项目继续落地，对制造业资本开支和外资信心形成支撑。</w:t>
      </w:r>
    </w:p>
    <w:p>
      <w:pPr>
        <w:numPr>
          <w:ilvl w:val="0"/>
          <w:numId w:val="1009"/>
        </w:numPr>
        <w:pStyle w:val="Compact"/>
      </w:pPr>
      <w:r>
        <w:t xml:space="preserve">验证条件：以项目开工、上市公司订单及外资链板块资金流为准；只有宏观表述而无订单时不作追涨依据。</w:t>
      </w:r>
    </w:p>
    <w:p>
      <w:pPr>
        <w:pStyle w:val="Heading4"/>
      </w:pPr>
      <w:bookmarkStart w:id="32" w:name="年我国将全面建成新一代通信网"/>
      <w:r>
        <w:t xml:space="preserve">2030年我国将全面建成新一代通信网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A股影响：利好</w:t>
      </w:r>
    </w:p>
    <w:p>
      <w:pPr>
        <w:numPr>
          <w:ilvl w:val="0"/>
          <w:numId w:val="1010"/>
        </w:numPr>
        <w:pStyle w:val="Compact"/>
      </w:pPr>
      <w:r>
        <w:t xml:space="preserve">相关板块：通信设备、5G-A、6G、算力基础设施、光模块、卫星互联网</w:t>
      </w:r>
    </w:p>
    <w:p>
      <w:pPr>
        <w:numPr>
          <w:ilvl w:val="0"/>
          <w:numId w:val="1010"/>
        </w:numPr>
        <w:pStyle w:val="Compact"/>
      </w:pPr>
      <w:r>
        <w:t xml:space="preserve">核心解读：规划给出 3.8 万亿元投资、9800 百亿亿次浮点运算算力和 95% 用户普及率等量化指标，政策力度强；同时部署 6G 试验、设备研制和太空算力。</w:t>
      </w:r>
    </w:p>
    <w:p>
      <w:pPr>
        <w:numPr>
          <w:ilvl w:val="0"/>
          <w:numId w:val="1010"/>
        </w:numPr>
        <w:pStyle w:val="Compact"/>
      </w:pPr>
      <w:r>
        <w:t xml:space="preserve">验证条件：通信设备/算力板块放量且核心股不高开低走；若资金流仍为净流出或龙头跌破开盘价，则暂缓参与。</w:t>
      </w:r>
    </w:p>
    <w:p>
      <w:pPr>
        <w:pStyle w:val="Heading4"/>
      </w:pPr>
      <w:bookmarkStart w:id="33" w:name="中国与其他金砖成员国贸易指数连续10年向上攀升"/>
      <w:r>
        <w:t xml:space="preserve">中国与其他金砖成员国贸易指数连续10年向上攀升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A股影响：偏利好</w:t>
      </w:r>
    </w:p>
    <w:p>
      <w:pPr>
        <w:numPr>
          <w:ilvl w:val="0"/>
          <w:numId w:val="1011"/>
        </w:numPr>
        <w:pStyle w:val="Compact"/>
      </w:pPr>
      <w:r>
        <w:t xml:space="preserve">相关板块：跨境物流、港口、外贸供应链、人民币结算</w:t>
      </w:r>
    </w:p>
    <w:p>
      <w:pPr>
        <w:numPr>
          <w:ilvl w:val="0"/>
          <w:numId w:val="1011"/>
        </w:numPr>
        <w:pStyle w:val="Compact"/>
      </w:pPr>
      <w:r>
        <w:t xml:space="preserve">核心解读：2025 年与其他金砖成员国进出口 7.47 万亿元、同比增长 3.4%，贸易企业首次突破 30 万家，支撑跨境贸易长期逻辑。</w:t>
      </w:r>
    </w:p>
    <w:p>
      <w:pPr>
        <w:numPr>
          <w:ilvl w:val="0"/>
          <w:numId w:val="1011"/>
        </w:numPr>
        <w:pStyle w:val="Compact"/>
      </w:pPr>
      <w:r>
        <w:t xml:space="preserve">验证条件：关注后续贸易增量、航运运价与相关公司订单；短线若物流板块无量则仅作背景信息。</w:t>
      </w:r>
    </w:p>
    <w:p>
      <w:pPr>
        <w:pStyle w:val="Heading4"/>
      </w:pPr>
      <w:bookmarkStart w:id="34" w:name="中央宣传部-教育部联合发布2026年最美教师"/>
      <w:r>
        <w:t xml:space="preserve">中央宣传部 教育部联合发布2026年</w:t>
      </w:r>
      <w:r>
        <w:t xml:space="preserve">“</w:t>
      </w:r>
      <w:r>
        <w:t xml:space="preserve">最美教师</w:t>
      </w:r>
      <w:r>
        <w:t xml:space="preserve">”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A股影响：中性</w:t>
      </w:r>
    </w:p>
    <w:p>
      <w:pPr>
        <w:numPr>
          <w:ilvl w:val="0"/>
          <w:numId w:val="1012"/>
        </w:numPr>
        <w:pStyle w:val="Compact"/>
      </w:pPr>
      <w:r>
        <w:t xml:space="preserve">相关板块：无直接映射</w:t>
      </w:r>
    </w:p>
    <w:p>
      <w:pPr>
        <w:numPr>
          <w:ilvl w:val="0"/>
          <w:numId w:val="1012"/>
        </w:numPr>
        <w:pStyle w:val="Compact"/>
      </w:pPr>
      <w:r>
        <w:t xml:space="preserve">核心解读：属于教师节先进典型发布，社会意义明确，但没有新增产业政策或订单信息。</w:t>
      </w:r>
    </w:p>
    <w:p>
      <w:pPr>
        <w:numPr>
          <w:ilvl w:val="0"/>
          <w:numId w:val="1012"/>
        </w:numPr>
        <w:pStyle w:val="Compact"/>
      </w:pPr>
      <w:r>
        <w:t xml:space="preserve">验证条件：不作为交易触发信号。</w:t>
      </w:r>
    </w:p>
    <w:p>
      <w:pPr>
        <w:pStyle w:val="Heading4"/>
      </w:pPr>
      <w:bookmarkStart w:id="35" w:name="革命文物保护利用片区建设工作取得新成效"/>
      <w:r>
        <w:t xml:space="preserve">革命文物保护利用片区建设工作取得新成效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A股影响：中性偏利好</w:t>
      </w:r>
    </w:p>
    <w:p>
      <w:pPr>
        <w:numPr>
          <w:ilvl w:val="0"/>
          <w:numId w:val="1013"/>
        </w:numPr>
        <w:pStyle w:val="Compact"/>
      </w:pPr>
      <w:r>
        <w:t xml:space="preserve">相关板块：文旅、文物数字化、展陈工程</w:t>
      </w:r>
    </w:p>
    <w:p>
      <w:pPr>
        <w:numPr>
          <w:ilvl w:val="0"/>
          <w:numId w:val="1013"/>
        </w:numPr>
        <w:pStyle w:val="Compact"/>
      </w:pPr>
      <w:r>
        <w:t xml:space="preserve">核心解读：37 个片区覆盖 1433 个县、累计实施 3000 余项工程，利于文保与红色文旅长期需求，但新增项目规模未披露。</w:t>
      </w:r>
    </w:p>
    <w:p>
      <w:pPr>
        <w:numPr>
          <w:ilvl w:val="0"/>
          <w:numId w:val="1013"/>
        </w:numPr>
        <w:pStyle w:val="Compact"/>
      </w:pPr>
      <w:r>
        <w:t xml:space="preserve">验证条件：以后续项目招标、客流和上市公司订单为准；无订单验证则不追题材。</w:t>
      </w:r>
    </w:p>
    <w:p>
      <w:pPr>
        <w:pStyle w:val="Heading4"/>
      </w:pPr>
      <w:bookmarkStart w:id="36" w:name="文化中国行让长城文化在保护与传承中生生不息"/>
      <w:r>
        <w:t xml:space="preserve">【文化中国行】让长城文化在保护与传承中生生不息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A股影响：中性</w:t>
      </w:r>
    </w:p>
    <w:p>
      <w:pPr>
        <w:numPr>
          <w:ilvl w:val="0"/>
          <w:numId w:val="1014"/>
        </w:numPr>
        <w:pStyle w:val="Compact"/>
      </w:pPr>
      <w:r>
        <w:t xml:space="preserve">相关板块：文旅、文保工程；直接映射有限</w:t>
      </w:r>
    </w:p>
    <w:p>
      <w:pPr>
        <w:numPr>
          <w:ilvl w:val="0"/>
          <w:numId w:val="1014"/>
        </w:numPr>
        <w:pStyle w:val="Compact"/>
      </w:pPr>
      <w:r>
        <w:t xml:space="preserve">核心解读：强调长城保护、国家文化公园与乡村文旅融合，偏长期文化建设宣传。</w:t>
      </w:r>
    </w:p>
    <w:p>
      <w:pPr>
        <w:numPr>
          <w:ilvl w:val="0"/>
          <w:numId w:val="1014"/>
        </w:numPr>
        <w:pStyle w:val="Compact"/>
      </w:pPr>
      <w:r>
        <w:t xml:space="preserve">验证条件：需出现具体项目投资或文旅客流改善，才构成产业催化。</w:t>
      </w:r>
    </w:p>
    <w:p>
      <w:pPr>
        <w:pStyle w:val="Heading4"/>
      </w:pPr>
      <w:bookmarkStart w:id="37" w:name="国内联播快讯"/>
      <w:r>
        <w:t xml:space="preserve">国内联播快讯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A股影响：偏利好但分化</w:t>
      </w:r>
    </w:p>
    <w:p>
      <w:pPr>
        <w:numPr>
          <w:ilvl w:val="0"/>
          <w:numId w:val="1015"/>
        </w:numPr>
        <w:pStyle w:val="Compact"/>
      </w:pPr>
      <w:r>
        <w:t xml:space="preserve">相关板块：网络安全、北斗交通、医疗耗材、铁路物流、水利、海洋治理、基础科研</w:t>
      </w:r>
    </w:p>
    <w:p>
      <w:pPr>
        <w:numPr>
          <w:ilvl w:val="0"/>
          <w:numId w:val="1015"/>
        </w:numPr>
        <w:pStyle w:val="Compact"/>
      </w:pPr>
      <w:r>
        <w:t xml:space="preserve">核心解读：电诈国际联盟利于网络安全；298 项国家标准利于汽车安全和北斗服务规范化；第七批医用耗材集采对中选企业带来放量机会、同时压制单品价格；西部陆海新通道累计 600 万标箱利好铁路物流；长江来水偏枯增加水电及供水调度不确定性。</w:t>
      </w:r>
    </w:p>
    <w:p>
      <w:pPr>
        <w:numPr>
          <w:ilvl w:val="0"/>
          <w:numId w:val="1015"/>
        </w:numPr>
        <w:pStyle w:val="Compact"/>
      </w:pPr>
      <w:r>
        <w:t xml:space="preserve">验证条件：分别看订单、中选份额、运量和来水数据；题材若无资金扩散则不做组合式追涨。</w:t>
      </w:r>
    </w:p>
    <w:p>
      <w:pPr>
        <w:pStyle w:val="Heading4"/>
      </w:pPr>
      <w:bookmarkStart w:id="38" w:name="俄罗斯表示日本应认真反省其历史罪行"/>
      <w:r>
        <w:t xml:space="preserve">俄罗斯表示日本应认真反省其历史罪行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A股影响：中性</w:t>
      </w:r>
    </w:p>
    <w:p>
      <w:pPr>
        <w:numPr>
          <w:ilvl w:val="0"/>
          <w:numId w:val="1016"/>
        </w:numPr>
        <w:pStyle w:val="Compact"/>
      </w:pPr>
      <w:r>
        <w:t xml:space="preserve">相关板块：无直接映射</w:t>
      </w:r>
    </w:p>
    <w:p>
      <w:pPr>
        <w:numPr>
          <w:ilvl w:val="0"/>
          <w:numId w:val="1016"/>
        </w:numPr>
        <w:pStyle w:val="Compact"/>
      </w:pPr>
      <w:r>
        <w:t xml:space="preserve">核心解读：属于外交表态，当前未见对 A 股产业链的直接可量化影响。</w:t>
      </w:r>
    </w:p>
    <w:p>
      <w:pPr>
        <w:numPr>
          <w:ilvl w:val="0"/>
          <w:numId w:val="1016"/>
        </w:numPr>
        <w:pStyle w:val="Compact"/>
      </w:pPr>
      <w:r>
        <w:t xml:space="preserve">验证条件：若后续升级为制裁或贸易限制，再评估军工、航运和相关贸易链。</w:t>
      </w:r>
    </w:p>
    <w:p>
      <w:pPr>
        <w:pStyle w:val="Heading4"/>
      </w:pPr>
      <w:bookmarkStart w:id="39" w:name="美总统称美伊战事将在中期选举后结束-伊朗称美没有在该地区维持存在的能力"/>
      <w:r>
        <w:t xml:space="preserve">美总统称美伊战事将在中期选举后结束 伊朗称美没有在该地区维持存在的能力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A股影响：偏利空并结构性利好油气</w:t>
      </w:r>
    </w:p>
    <w:p>
      <w:pPr>
        <w:numPr>
          <w:ilvl w:val="0"/>
          <w:numId w:val="1017"/>
        </w:numPr>
        <w:pStyle w:val="Compact"/>
      </w:pPr>
      <w:r>
        <w:t xml:space="preserve">相关板块：油气开采、油服；航空、物流、化工下游、高耗能制造</w:t>
      </w:r>
    </w:p>
    <w:p>
      <w:pPr>
        <w:numPr>
          <w:ilvl w:val="0"/>
          <w:numId w:val="1017"/>
        </w:numPr>
        <w:pStyle w:val="Compact"/>
      </w:pPr>
      <w:r>
        <w:t xml:space="preserve">核心解读：冲突持续预期和霍尔木兹海峡风险推升油价，布伦特原油突破 100 美元；上游盈利预期改善，但输入性通胀和风险偏好承压。</w:t>
      </w:r>
    </w:p>
    <w:p>
      <w:pPr>
        <w:numPr>
          <w:ilvl w:val="0"/>
          <w:numId w:val="1017"/>
        </w:numPr>
        <w:pStyle w:val="Compact"/>
      </w:pPr>
      <w:r>
        <w:t xml:space="preserve">验证条件：油价维持 100 美元上方且油气板块获得成交与资金确认；若局势缓和、油价快速回落，则油气交易失效。</w:t>
      </w:r>
    </w:p>
    <w:p>
      <w:pPr>
        <w:pStyle w:val="Heading4"/>
      </w:pPr>
      <w:bookmarkStart w:id="40" w:name="国际联播快讯"/>
      <w:r>
        <w:t xml:space="preserve">国际联播快讯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A股影响：中性偏分化</w:t>
      </w:r>
    </w:p>
    <w:p>
      <w:pPr>
        <w:numPr>
          <w:ilvl w:val="0"/>
          <w:numId w:val="1018"/>
        </w:numPr>
        <w:pStyle w:val="Compact"/>
      </w:pPr>
      <w:r>
        <w:t xml:space="preserve">相关板块：油气、军工、海洋治理、AI 电子元件、跨境安防</w:t>
      </w:r>
    </w:p>
    <w:p>
      <w:pPr>
        <w:numPr>
          <w:ilvl w:val="0"/>
          <w:numId w:val="1018"/>
        </w:numPr>
        <w:pStyle w:val="Compact"/>
      </w:pPr>
      <w:r>
        <w:t xml:space="preserve">核心解读：沙特与胡塞冲突、叙以摩擦加大地缘风险；世贸组织货物贸易晴雨表为 102.0，AI 电子元件需求保持韧性，对出口电子链构成中期支撑。</w:t>
      </w:r>
    </w:p>
    <w:p>
      <w:pPr>
        <w:numPr>
          <w:ilvl w:val="0"/>
          <w:numId w:val="1018"/>
        </w:numPr>
        <w:pStyle w:val="Compact"/>
      </w:pPr>
      <w:r>
        <w:t xml:space="preserve">验证条件：地缘方向看油价与航运价格，电子链看订单和板块资金；冲突降温或需求数据转弱即降低权重。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今日重要公告"/>
      <w:r>
        <w:t xml:space="preserve">📋 今日重要公告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⚠️ 东方财富公告接口返回 HTTP 567，增减持、解禁、业绩、停复牌、重组及监管问询榜单均未核验。</w:t>
      </w:r>
    </w:p>
    <w:p>
      <w:pPr>
        <w:numPr>
          <w:ilvl w:val="0"/>
          <w:numId w:val="1019"/>
        </w:numPr>
        <w:pStyle w:val="Compact"/>
      </w:pPr>
      <w:r>
        <w:t xml:space="preserve">🚫 今日不得据此断言</w:t>
      </w:r>
      <w:r>
        <w:t xml:space="preserve">“</w:t>
      </w:r>
      <w:r>
        <w:t xml:space="preserve">无重要公告</w:t>
      </w:r>
      <w:r>
        <w:t xml:space="preserve">”</w:t>
      </w:r>
      <w:r>
        <w:t xml:space="preserve">；持仓与候选股下单前需再次核对交易所公告。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今日经济数据与事件"/>
      <w:r>
        <w:t xml:space="preserve">📅 今日经济数据与事件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📅 已确认事件：金砖国家领导人第十八次会晤将于 9 月 12 日至 13 日举行；今天处于会前预期阶段。</w:t>
      </w:r>
    </w:p>
    <w:p>
      <w:pPr>
        <w:numPr>
          <w:ilvl w:val="0"/>
          <w:numId w:val="1020"/>
        </w:numPr>
        <w:pStyle w:val="Compact"/>
      </w:pPr>
      <w:r>
        <w:t xml:space="preserve">⚠️ 华泰文本提示今晚关注美国 8 月 CPI，但采集 JSON 未含官方经济日历，发布时间、市场预期和前值均未核验，不引用具体预期数值。</w:t>
      </w:r>
    </w:p>
    <w:p>
      <w:pPr>
        <w:numPr>
          <w:ilvl w:val="0"/>
          <w:numId w:val="1020"/>
        </w:numPr>
        <w:pStyle w:val="Compact"/>
      </w:pPr>
      <w:r>
        <w:t xml:space="preserve">⚠️ 国内 CPI/PPI、PMI、GDP、社融/M2及央行公开市场操作未获得结构化日历，本轮统一标记未核验。</w:t>
      </w:r>
    </w:p>
    <w:p>
      <w:pPr>
        <w:numPr>
          <w:ilvl w:val="0"/>
          <w:numId w:val="1020"/>
        </w:numPr>
        <w:pStyle w:val="Compact"/>
      </w:pPr>
      <w:r>
        <w:t xml:space="preserve">💡 交易上只做条件预案：若晚间海外通胀信号推升利率与美元，科技成长估值承压；若低于市场定价，则风险偏好可能修复。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全球重要事件"/>
      <w:r>
        <w:t xml:space="preserve">🌍 全球重要事件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🛢️ 美伊冲突持续、霍尔木兹海峡控制风险上升：利好油气与油服，压制航空、运输及下游化工利润。</w:t>
      </w:r>
    </w:p>
    <w:p>
      <w:pPr>
        <w:numPr>
          <w:ilvl w:val="0"/>
          <w:numId w:val="1021"/>
        </w:numPr>
        <w:pStyle w:val="Compact"/>
      </w:pPr>
      <w:r>
        <w:t xml:space="preserve">⚠️ 沙特与胡塞武装相互打击、叙以矛盾延续：地缘风险溢价可能保持，周五不宜追逐大幅高开的能源股。</w:t>
      </w:r>
    </w:p>
    <w:p>
      <w:pPr>
        <w:numPr>
          <w:ilvl w:val="0"/>
          <w:numId w:val="1021"/>
        </w:numPr>
        <w:pStyle w:val="Compact"/>
      </w:pPr>
      <w:r>
        <w:t xml:space="preserve">🌐 WTO 货物贸易晴雨表为 102.0，高于基准值 100；AI 相关电子元件需求仍具韧性，但 A 股电子链需先观察外盘压力释放和开盘承接。</w:t>
      </w:r>
    </w:p>
    <w:p>
      <w:pPr>
        <w:numPr>
          <w:ilvl w:val="0"/>
          <w:numId w:val="1021"/>
        </w:numPr>
        <w:pStyle w:val="Compact"/>
      </w:pPr>
      <w:r>
        <w:t xml:space="preserve">🤝 金砖会晤临近：跨境贸易、港口物流和人民币结算存在事件窗口，须以具体成果与订单为验证条件。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昨日复盘要点"/>
      <w:r>
        <w:t xml:space="preserve">📊 昨日复盘要点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📉 五项指数平均跌幅为 0.58%，上涨/下跌家数为 955/4512，个股普跌程度明显高于指数跌幅，市场风格偏弱、防御。</w:t>
      </w:r>
    </w:p>
    <w:p>
      <w:pPr>
        <w:numPr>
          <w:ilvl w:val="0"/>
          <w:numId w:val="1022"/>
        </w:numPr>
        <w:pStyle w:val="Compact"/>
      </w:pPr>
      <w:r>
        <w:t xml:space="preserve">💰 全市场成交额 16623.37 亿元为同花顺单源事实；可引用昨日原始成交额 18730.67 亿元，但比较口径未核验，禁止写成交额变化百分比。</w:t>
      </w:r>
    </w:p>
    <w:p>
      <w:pPr>
        <w:numPr>
          <w:ilvl w:val="0"/>
          <w:numId w:val="1022"/>
        </w:numPr>
        <w:pStyle w:val="Compact"/>
      </w:pPr>
      <w:r>
        <w:t xml:space="preserve">🔴 资金流入 TOP10：未核验。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接口 HTTP 502，采集 JSON 无真实榜单，禁止以华泰文本或搜索数据替代。</w:t>
      </w:r>
    </w:p>
    <w:p>
      <w:pPr>
        <w:numPr>
          <w:ilvl w:val="0"/>
          <w:numId w:val="1022"/>
        </w:numPr>
        <w:pStyle w:val="Compact"/>
      </w:pPr>
      <w:r>
        <w:t xml:space="preserve">🟢 资金流出 TOP10：未核验。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接口 HTTP 502，采集 JSON 无真实榜单，禁止自行补齐。</w:t>
      </w:r>
    </w:p>
    <w:p>
      <w:pPr>
        <w:numPr>
          <w:ilvl w:val="0"/>
          <w:numId w:val="1022"/>
        </w:numPr>
        <w:pStyle w:val="Compact"/>
      </w:pPr>
      <w:r>
        <w:t xml:space="preserve">⚠️ 板块涨跌、活跃股和涨跌停样本关键源缺失；华泰文本提及银行、高股息、算力硬件、电力、油气等线索，仅作为单一补充来源，不作为已交叉验证的盘面结论。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5" w:name="华泰自选股观察"/>
      <w:r>
        <w:t xml:space="preserve">🧾 华泰自选股观察</w:t>
      </w:r>
      <w:bookmarkEnd w:id="45"/>
    </w:p>
    <w:p>
      <w:pPr>
        <w:numPr>
          <w:ilvl w:val="0"/>
          <w:numId w:val="1023"/>
        </w:numPr>
        <w:pStyle w:val="Compact"/>
      </w:pPr>
      <w:r>
        <w:t xml:space="preserve">📊 自选股 3 只行情全部获取成功，但本地核心个股多源校验失败，因此以下价格均标注为</w:t>
      </w:r>
      <w:r>
        <w:t xml:space="preserve">“</w:t>
      </w:r>
      <w:r>
        <w:t xml:space="preserve">华泰单源</w:t>
      </w:r>
      <w:r>
        <w:t xml:space="preserve">”</w:t>
      </w:r>
      <w:r>
        <w:t xml:space="preserve">。整体上工商银行表现偏强，弘元绿能偏弱，风语筑明显偏弱。</w:t>
      </w:r>
    </w:p>
    <w:p>
      <w:pPr>
        <w:numPr>
          <w:ilvl w:val="0"/>
          <w:numId w:val="1023"/>
        </w:numPr>
        <w:pStyle w:val="Compact"/>
      </w:pPr>
      <w:r>
        <w:t xml:space="preserve">💡 与盘前可确认方向相比，工商银行与金融强国/防御红利共振；弘元绿能、风语筑缺乏当日结构化板块与资金确认，以跟踪为主、暂不作为主攻方向。</w:t>
      </w:r>
    </w:p>
    <w:p>
      <w:pPr>
        <w:pStyle w:val="Heading3"/>
      </w:pPr>
      <w:bookmarkStart w:id="46" w:name="弘元绿能"/>
      <w:r>
        <w:t xml:space="preserve">📉 603185 弘元绿能</w:t>
      </w:r>
      <w:bookmarkEnd w:id="46"/>
    </w:p>
    <w:p>
      <w:pPr>
        <w:numPr>
          <w:ilvl w:val="0"/>
          <w:numId w:val="1024"/>
        </w:numPr>
        <w:pStyle w:val="Compact"/>
      </w:pPr>
      <w:r>
        <w:t xml:space="preserve">华泰单源最新价 14.46 元，跌 2.30%，昨收 14.80 元；光伏硅片/设备方向与今日已确认的通信、金融、油气催化无明显共振。</w:t>
      </w:r>
    </w:p>
    <w:p>
      <w:pPr>
        <w:numPr>
          <w:ilvl w:val="0"/>
          <w:numId w:val="1024"/>
        </w:numPr>
        <w:pStyle w:val="Compact"/>
      </w:pPr>
      <w:r>
        <w:t xml:space="preserve">💡 判断：偏弱、继续观察，不追高也不盲目补仓；只有重新站上 14.80 元且光伏板块放量共振，才可低吸跟踪。</w:t>
      </w:r>
    </w:p>
    <w:p>
      <w:pPr>
        <w:pStyle w:val="Heading3"/>
      </w:pPr>
      <w:bookmarkStart w:id="47" w:name="风语筑"/>
      <w:r>
        <w:t xml:space="preserve">📉 603466 风语筑</w:t>
      </w:r>
      <w:bookmarkEnd w:id="47"/>
    </w:p>
    <w:p>
      <w:pPr>
        <w:numPr>
          <w:ilvl w:val="0"/>
          <w:numId w:val="1025"/>
        </w:numPr>
        <w:pStyle w:val="Compact"/>
      </w:pPr>
      <w:r>
        <w:t xml:space="preserve">华泰单源最新价 12.06 元，跌 6.58%，昨收 12.91 元；数字文旅/展陈与服贸会、文旅政策存在弱映射，但个股下跌说明资金承接不足。</w:t>
      </w:r>
    </w:p>
    <w:p>
      <w:pPr>
        <w:numPr>
          <w:ilvl w:val="0"/>
          <w:numId w:val="1025"/>
        </w:numPr>
        <w:pStyle w:val="Compact"/>
      </w:pPr>
      <w:r>
        <w:t xml:space="preserve">💡 判断：偏弱，反弹以风险处理为先；以跟踪为主、暂不作为主攻方向，未收复 12.91 元前不考虑加仓。</w:t>
      </w:r>
    </w:p>
    <w:p>
      <w:pPr>
        <w:pStyle w:val="Heading3"/>
      </w:pPr>
      <w:bookmarkStart w:id="48" w:name="工商银行"/>
      <w:r>
        <w:t xml:space="preserve">📈 601398 工商银行</w:t>
      </w:r>
      <w:bookmarkEnd w:id="48"/>
    </w:p>
    <w:p>
      <w:pPr>
        <w:numPr>
          <w:ilvl w:val="0"/>
          <w:numId w:val="1026"/>
        </w:numPr>
        <w:pStyle w:val="Compact"/>
      </w:pPr>
      <w:r>
        <w:t xml:space="preserve">华泰单源最新价 8.10 元，涨 1.25%，昨收 8.00 元；银行/高股息方向与金融强国规划及弱市防御风格共振。</w:t>
      </w:r>
    </w:p>
    <w:p>
      <w:pPr>
        <w:numPr>
          <w:ilvl w:val="0"/>
          <w:numId w:val="1026"/>
        </w:numPr>
        <w:pStyle w:val="Compact"/>
      </w:pPr>
      <w:r>
        <w:t xml:space="preserve">💡 判断：偏强、可继续持有观察，但不追高；若银行板块开盘继续联动且 8.10 元上方承接稳定，可作为防御仓跟踪。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9" w:name="今日操作策略"/>
      <w:r>
        <w:t xml:space="preserve">🎯 今日操作策略</w:t>
      </w:r>
      <w:bookmarkEnd w:id="49"/>
    </w:p>
    <w:p>
      <w:pPr>
        <w:numPr>
          <w:ilvl w:val="0"/>
          <w:numId w:val="1027"/>
        </w:numPr>
        <w:pStyle w:val="Compact"/>
      </w:pPr>
      <w:r>
        <w:t xml:space="preserve">📊 市场预判：偏弱震荡，先防守后观察修复。A50 跌 0.66%、昨日 4512 家下跌，开盘不宜抢反弹。</w:t>
      </w:r>
    </w:p>
    <w:p>
      <w:pPr>
        <w:numPr>
          <w:ilvl w:val="0"/>
          <w:numId w:val="1027"/>
        </w:numPr>
        <w:pStyle w:val="Compact"/>
      </w:pPr>
      <w:r>
        <w:t xml:space="preserve">🔥 关注顺序：油气上游/油服事件交易；通信设备-5G-A/6G/算力基础设施政策预期；银行/高股息防御。</w:t>
      </w:r>
    </w:p>
    <w:p>
      <w:pPr>
        <w:numPr>
          <w:ilvl w:val="0"/>
          <w:numId w:val="1027"/>
        </w:numPr>
        <w:pStyle w:val="Compact"/>
      </w:pPr>
      <w:r>
        <w:t xml:space="preserve">🚫 回避方向：无板块资金确认的高位题材、油价上涨受损的航空与高耗能下游、跌破关键位且无法收回的弱势个股。</w:t>
      </w:r>
    </w:p>
    <w:p>
      <w:pPr>
        <w:numPr>
          <w:ilvl w:val="0"/>
          <w:numId w:val="1027"/>
        </w:numPr>
        <w:pStyle w:val="Compact"/>
      </w:pPr>
      <w:r>
        <w:t xml:space="preserve">💡 激进仓：上限 40%，只参与开盘后出现板块放量、核心股承接和资金同向的方向，单一事件方向不重仓。</w:t>
      </w:r>
    </w:p>
    <w:p>
      <w:pPr>
        <w:numPr>
          <w:ilvl w:val="0"/>
          <w:numId w:val="1027"/>
        </w:numPr>
        <w:pStyle w:val="Compact"/>
      </w:pPr>
      <w:r>
        <w:t xml:space="preserve">💡 稳健仓：25%，以银行/高股息防御底仓为主，等待通信或油气出现二次确认后再分批参与。</w:t>
      </w:r>
    </w:p>
    <w:p>
      <w:pPr>
        <w:numPr>
          <w:ilvl w:val="0"/>
          <w:numId w:val="1027"/>
        </w:numPr>
        <w:pStyle w:val="Compact"/>
      </w:pPr>
      <w:r>
        <w:t xml:space="preserve">💡 保守仓：10%，保留现金，等待沪指在 3934.4036 点附近止跌；若快速失守 3900 点且无承接，继续降低风险敞口。</w:t>
      </w:r>
    </w:p>
    <w:p>
      <w:pPr>
        <w:numPr>
          <w:ilvl w:val="0"/>
          <w:numId w:val="1027"/>
        </w:numPr>
        <w:pStyle w:val="Compact"/>
      </w:pPr>
      <w:r>
        <w:t xml:space="preserve">⚠️ 关注个股仅作观察池：工商银行（防御共振）、中国石油/中国海油（华泰文本提供油气线索，价格未核验）、太极实业/金安国纪（华泰文本提供算力硬件线索，价格未核验）。除工商银行外，均不得按未核验价格直接下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0" w:name="重点投资方向"/>
      <w:r>
        <w:t xml:space="preserve">🎯 重点投资方向</w:t>
      </w:r>
      <w:bookmarkEnd w:id="50"/>
    </w:p>
    <w:p>
      <w:pPr>
        <w:pStyle w:val="Heading3"/>
      </w:pPr>
      <w:bookmarkStart w:id="51" w:name="方向一油气上游油服优先级高但高开不追"/>
      <w:r>
        <w:t xml:space="preserve">🚀 方向一：油气上游—油服（优先级：高，但高开不追）</w:t>
      </w:r>
      <w:bookmarkEnd w:id="51"/>
    </w:p>
    <w:p>
      <w:pPr>
        <w:numPr>
          <w:ilvl w:val="0"/>
          <w:numId w:val="1028"/>
        </w:numPr>
        <w:pStyle w:val="Compact"/>
      </w:pPr>
      <w:r>
        <w:t xml:space="preserve">📌 证据链：WTI 报 102.965、涨 0.47%；央视确认布伦特原油突破每桶 100 美元；美伊冲突与霍尔木兹海峡风险持续，三类信息共同指向油价风险溢价。</w:t>
      </w:r>
    </w:p>
    <w:p>
      <w:pPr>
        <w:numPr>
          <w:ilvl w:val="0"/>
          <w:numId w:val="1028"/>
        </w:numPr>
        <w:pStyle w:val="Compact"/>
      </w:pPr>
      <w:r>
        <w:t xml:space="preserve">🔥 核心标的：中国石油、中国海油、贝肯能源。入选理由来自华泰补充文本的上游/油服代表性线索，个股价格、资金流和板块排名均未核验。</w:t>
      </w:r>
    </w:p>
    <w:p>
      <w:pPr>
        <w:numPr>
          <w:ilvl w:val="0"/>
          <w:numId w:val="1028"/>
        </w:numPr>
        <w:pStyle w:val="Compact"/>
      </w:pPr>
      <w:r>
        <w:t xml:space="preserve">💡 参与策略：激进仅在板块开盘分歧后重新放量走强时小仓试错；稳健等待首轮冲高回落后的承接；保守不参与事件型高开。</w:t>
      </w:r>
    </w:p>
    <w:p>
      <w:pPr>
        <w:numPr>
          <w:ilvl w:val="0"/>
          <w:numId w:val="1028"/>
        </w:numPr>
        <w:pStyle w:val="Compact"/>
      </w:pPr>
      <w:r>
        <w:t xml:space="preserve">✅ 触发条件：油价维持 100 美元上方、油气板块成交放大、核心股不跌破开盘价。</w:t>
      </w:r>
    </w:p>
    <w:p>
      <w:pPr>
        <w:numPr>
          <w:ilvl w:val="0"/>
          <w:numId w:val="1028"/>
        </w:numPr>
        <w:pStyle w:val="Compact"/>
      </w:pPr>
      <w:r>
        <w:t xml:space="preserve">🚫 失效条件：冲突降温、油价快速跌回 100 美元下方，或板块高开低走且资金转弱。</w:t>
      </w:r>
    </w:p>
    <w:p>
      <w:pPr>
        <w:numPr>
          <w:ilvl w:val="0"/>
          <w:numId w:val="1028"/>
        </w:numPr>
        <w:pStyle w:val="Compact"/>
      </w:pPr>
      <w:r>
        <w:t xml:space="preserve">⚠️ 风险：地缘消息反转、高位兑现、油价上涨对下游需求的反噬。</w:t>
      </w:r>
    </w:p>
    <w:p>
      <w:pPr>
        <w:pStyle w:val="Heading3"/>
      </w:pPr>
      <w:bookmarkStart w:id="52" w:name="方向二通信设备5g-a6g算力基础设施优先级中"/>
      <w:r>
        <w:t xml:space="preserve">🚀 方向二：通信设备—5G-A/6G/算力基础设施（优先级：中）</w:t>
      </w:r>
      <w:bookmarkEnd w:id="52"/>
    </w:p>
    <w:p>
      <w:pPr>
        <w:numPr>
          <w:ilvl w:val="0"/>
          <w:numId w:val="1029"/>
        </w:numPr>
        <w:pStyle w:val="Compact"/>
      </w:pPr>
      <w:r>
        <w:t xml:space="preserve">📌 证据链：工信部规划提出到 2030 年信息基础设施累计投资 3.8 万亿元；智能算力规模达每秒 9800 百亿亿次浮点运算；5G（含 5G-A）用户普及率达 95%，并部署 6G 试验、设备研制和太空算力。</w:t>
      </w:r>
    </w:p>
    <w:p>
      <w:pPr>
        <w:numPr>
          <w:ilvl w:val="0"/>
          <w:numId w:val="1029"/>
        </w:numPr>
        <w:pStyle w:val="Compact"/>
      </w:pPr>
      <w:r>
        <w:t xml:space="preserve">🔥 核心标的：太极实业、金安国纪、天孚通信。入选理由为华泰文本中的低位 PCB/电子材料及光模块线索；本地活跃股、资金流和个股多源行情均未核验。</w:t>
      </w:r>
    </w:p>
    <w:p>
      <w:pPr>
        <w:numPr>
          <w:ilvl w:val="0"/>
          <w:numId w:val="1029"/>
        </w:numPr>
        <w:pStyle w:val="Compact"/>
      </w:pPr>
      <w:r>
        <w:t xml:space="preserve">💡 参与策略：激进只做低位放量首波；稳健等待指数企稳后参与回踩确认；保守等待资金流数据恢复。</w:t>
      </w:r>
    </w:p>
    <w:p>
      <w:pPr>
        <w:numPr>
          <w:ilvl w:val="0"/>
          <w:numId w:val="1029"/>
        </w:numPr>
        <w:pStyle w:val="Compact"/>
      </w:pPr>
      <w:r>
        <w:t xml:space="preserve">✅ 触发条件：板块放量、核心股不高开低走、指数在 3934.4036 点附近企稳，且开盘后可见资金流入延续。</w:t>
      </w:r>
    </w:p>
    <w:p>
      <w:pPr>
        <w:numPr>
          <w:ilvl w:val="0"/>
          <w:numId w:val="1029"/>
        </w:numPr>
        <w:pStyle w:val="Compact"/>
      </w:pPr>
      <w:r>
        <w:t xml:space="preserve">🚫 失效条件：板块主力净流入未能确认、核心股跌破开盘价或通信与半导体同步走弱。</w:t>
      </w:r>
    </w:p>
    <w:p>
      <w:pPr>
        <w:numPr>
          <w:ilvl w:val="0"/>
          <w:numId w:val="1029"/>
        </w:numPr>
        <w:pStyle w:val="Compact"/>
      </w:pPr>
      <w:r>
        <w:t xml:space="preserve">⚠️ 风险：海外科技波动、估值压缩、政策预期先行而订单兑现滞后。</w:t>
      </w:r>
    </w:p>
    <w:p>
      <w:pPr>
        <w:pStyle w:val="Heading3"/>
      </w:pPr>
      <w:bookmarkStart w:id="53" w:name="方向三银行高股息防御优先级中高"/>
      <w:r>
        <w:t xml:space="preserve">🚀 方向三：银行—高股息防御（优先级：中高）</w:t>
      </w:r>
      <w:bookmarkEnd w:id="53"/>
    </w:p>
    <w:p>
      <w:pPr>
        <w:numPr>
          <w:ilvl w:val="0"/>
          <w:numId w:val="1030"/>
        </w:numPr>
        <w:pStyle w:val="Compact"/>
      </w:pPr>
      <w:r>
        <w:t xml:space="preserve">📌 证据链：金融强国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规划正式出台并配套 9 份行动方案；昨日市场 4512 家下跌、风格偏防御；工商银行华泰单源报 8.10 元、涨 1.25%，与防御逻辑共振。</w:t>
      </w:r>
    </w:p>
    <w:p>
      <w:pPr>
        <w:numPr>
          <w:ilvl w:val="0"/>
          <w:numId w:val="1030"/>
        </w:numPr>
        <w:pStyle w:val="Compact"/>
      </w:pPr>
      <w:r>
        <w:t xml:space="preserve">🔥 核心标的：工商银行、农业银行；前者行情已由华泰单源确认，后者为用户持仓但本轮行情未取得，均需开盘后校验。</w:t>
      </w:r>
    </w:p>
    <w:p>
      <w:pPr>
        <w:numPr>
          <w:ilvl w:val="0"/>
          <w:numId w:val="1030"/>
        </w:numPr>
        <w:pStyle w:val="Compact"/>
      </w:pPr>
      <w:r>
        <w:t xml:space="preserve">💡 参与策略：激进不适合追高银行；稳健可维持底仓；保守以回踩不破关键均线、板块联动为条件再观察。</w:t>
      </w:r>
    </w:p>
    <w:p>
      <w:pPr>
        <w:numPr>
          <w:ilvl w:val="0"/>
          <w:numId w:val="1030"/>
        </w:numPr>
        <w:pStyle w:val="Compact"/>
      </w:pPr>
      <w:r>
        <w:t xml:space="preserve">✅ 触发条件：银行板块继续联动、工商银行守住 8.00 元且指数弱势时相对收益保持。</w:t>
      </w:r>
    </w:p>
    <w:p>
      <w:pPr>
        <w:numPr>
          <w:ilvl w:val="0"/>
          <w:numId w:val="1030"/>
        </w:numPr>
        <w:pStyle w:val="Compact"/>
      </w:pPr>
      <w:r>
        <w:t xml:space="preserve">🚫 失效条件：工商银行放量跌破 8.00 元、银行板块转弱或指数出现权重补跌。</w:t>
      </w:r>
    </w:p>
    <w:p>
      <w:pPr>
        <w:numPr>
          <w:ilvl w:val="0"/>
          <w:numId w:val="1030"/>
        </w:numPr>
        <w:pStyle w:val="Compact"/>
      </w:pPr>
      <w:r>
        <w:t xml:space="preserve">⚠️ 风险：红利交易拥挤、利率变化、净息差压力及政策利好兑现后回落。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4" w:name="用户实盘持仓策略"/>
      <w:r>
        <w:t xml:space="preserve">💼 用户实盘持仓策略</w:t>
      </w:r>
      <w:bookmarkEnd w:id="54"/>
    </w:p>
    <w:p>
      <w:pPr>
        <w:pStyle w:val="BlockText"/>
      </w:pPr>
      <w:r>
        <w:t xml:space="preserve">盈亏按最新可得价与成本价计算，不含交易费用；弘元绿能、风语筑、工商银行价格仅为华泰单源。农业银行本轮无可确认行情，不能计算当前盈亏。</w:t>
      </w:r>
    </w:p>
    <w:p>
      <w:pPr>
        <w:pStyle w:val="Heading3"/>
      </w:pPr>
      <w:bookmarkStart w:id="55" w:name="弘元绿能603185300-股成本-26.6669-元"/>
      <w:r>
        <w:t xml:space="preserve">📉 弘元绿能（603185）｜300 股｜成本 26.6669 元</w:t>
      </w:r>
      <w:bookmarkEnd w:id="55"/>
    </w:p>
    <w:p>
      <w:pPr>
        <w:numPr>
          <w:ilvl w:val="0"/>
          <w:numId w:val="1031"/>
        </w:numPr>
        <w:pStyle w:val="Compact"/>
      </w:pPr>
      <w:r>
        <w:t xml:space="preserve">📊 最新可得价 14.46 元，账面盈亏幅度 -45.78%，账面浮亏 3662.07 元。</w:t>
      </w:r>
    </w:p>
    <w:p>
      <w:pPr>
        <w:numPr>
          <w:ilvl w:val="0"/>
          <w:numId w:val="1031"/>
        </w:numPr>
        <w:pStyle w:val="Compact"/>
      </w:pPr>
      <w:r>
        <w:t xml:space="preserve">💡 今日动作：反弹减仓观察，不做无条件摊薄。深套不是加仓理由，且光伏方向未与今日可确认主线共振。</w:t>
      </w:r>
    </w:p>
    <w:p>
      <w:pPr>
        <w:numPr>
          <w:ilvl w:val="0"/>
          <w:numId w:val="1031"/>
        </w:numPr>
        <w:pStyle w:val="Compact"/>
      </w:pPr>
      <w:r>
        <w:t xml:space="preserve">🚫 减仓/离场触发：反弹至 14.80 元附近不能站稳可分批减仓；若开盘后放量跌破 14.46 元且 30 分钟不能收回，继续降低仓位。</w:t>
      </w:r>
    </w:p>
    <w:p>
      <w:pPr>
        <w:numPr>
          <w:ilvl w:val="0"/>
          <w:numId w:val="1031"/>
        </w:numPr>
        <w:pStyle w:val="Compact"/>
      </w:pPr>
      <w:r>
        <w:t xml:space="preserve">✅ 条件加仓：仅当重新站稳 14.80 元、光伏板块放量走强且资金流恢复为可核验净流入时，才考虑小仓跟踪。</w:t>
      </w:r>
    </w:p>
    <w:p>
      <w:pPr>
        <w:numPr>
          <w:ilvl w:val="0"/>
          <w:numId w:val="1031"/>
        </w:numPr>
        <w:pStyle w:val="Compact"/>
      </w:pPr>
      <w:r>
        <w:t xml:space="preserve">⚠️ 失效条件与风险：若个股继续弱于板块、公告出现利空或行业价格下行，任何反弹预案失效；核心风险为趋势弱、成本距离远和光伏供需压力。</w:t>
      </w:r>
    </w:p>
    <w:p>
      <w:pPr>
        <w:pStyle w:val="Heading3"/>
      </w:pPr>
      <w:bookmarkStart w:id="56" w:name="风语筑603466700-股成本-13.2159-元"/>
      <w:r>
        <w:t xml:space="preserve">📉 风语筑（603466）｜700 股｜成本 13.2159 元</w:t>
      </w:r>
      <w:bookmarkEnd w:id="56"/>
    </w:p>
    <w:p>
      <w:pPr>
        <w:numPr>
          <w:ilvl w:val="0"/>
          <w:numId w:val="1032"/>
        </w:numPr>
        <w:pStyle w:val="Compact"/>
      </w:pPr>
      <w:r>
        <w:t xml:space="preserve">📊 最新可得价 12.06 元，账面盈亏幅度 -8.75%，账面浮亏 809.13 元。</w:t>
      </w:r>
    </w:p>
    <w:p>
      <w:pPr>
        <w:numPr>
          <w:ilvl w:val="0"/>
          <w:numId w:val="1032"/>
        </w:numPr>
        <w:pStyle w:val="Compact"/>
      </w:pPr>
      <w:r>
        <w:t xml:space="preserve">💡 今日动作：减仓观察优先。数字文旅虽有政策弱映射，但昨日跌 6.58%，价格行为明显弱于政策叙事。</w:t>
      </w:r>
    </w:p>
    <w:p>
      <w:pPr>
        <w:numPr>
          <w:ilvl w:val="0"/>
          <w:numId w:val="1032"/>
        </w:numPr>
        <w:pStyle w:val="Compact"/>
      </w:pPr>
      <w:r>
        <w:t xml:space="preserve">🚫 减仓/离场触发：反弹无法收复 12.91 元时分批降低仓位；若放量跌破 12.06 元且无快速回收，执行进一步减仓。</w:t>
      </w:r>
    </w:p>
    <w:p>
      <w:pPr>
        <w:numPr>
          <w:ilvl w:val="0"/>
          <w:numId w:val="1032"/>
        </w:numPr>
        <w:pStyle w:val="Compact"/>
      </w:pPr>
      <w:r>
        <w:t xml:space="preserve">✅ 条件加仓：只有放量收复 12.91 元、数字文旅/展陈板块形成联动，并确认非单股脉冲时才考虑；未满足前不补仓。</w:t>
      </w:r>
    </w:p>
    <w:p>
      <w:pPr>
        <w:numPr>
          <w:ilvl w:val="0"/>
          <w:numId w:val="1032"/>
        </w:numPr>
        <w:pStyle w:val="Compact"/>
      </w:pPr>
      <w:r>
        <w:t xml:space="preserve">⚠️ 失效条件与风险：服贸会题材高开低走、项目订单不兑现或个股持续弱于板块时，修复逻辑失效。</w:t>
      </w:r>
    </w:p>
    <w:p>
      <w:pPr>
        <w:pStyle w:val="Heading3"/>
      </w:pPr>
      <w:bookmarkStart w:id="57" w:name="工商银行6013981900-股成本-7.0601-元"/>
      <w:r>
        <w:t xml:space="preserve">📈 工商银行（601398）｜1900 股｜成本 7.0601 元</w:t>
      </w:r>
      <w:bookmarkEnd w:id="57"/>
    </w:p>
    <w:p>
      <w:pPr>
        <w:numPr>
          <w:ilvl w:val="0"/>
          <w:numId w:val="1033"/>
        </w:numPr>
        <w:pStyle w:val="Compact"/>
      </w:pPr>
      <w:r>
        <w:t xml:space="preserve">📊 最新可得价 8.10 元，账面盈亏幅度 +14.73%，账面浮盈 1975.81 元。</w:t>
      </w:r>
    </w:p>
    <w:p>
      <w:pPr>
        <w:numPr>
          <w:ilvl w:val="0"/>
          <w:numId w:val="1033"/>
        </w:numPr>
        <w:pStyle w:val="Compact"/>
      </w:pPr>
      <w:r>
        <w:t xml:space="preserve">💡 今日动作：稳健持有、不追高；作为防御仓观察银行板块是否继续与弱市环境共振。</w:t>
      </w:r>
    </w:p>
    <w:p>
      <w:pPr>
        <w:numPr>
          <w:ilvl w:val="0"/>
          <w:numId w:val="1033"/>
        </w:numPr>
        <w:pStyle w:val="Compact"/>
      </w:pPr>
      <w:r>
        <w:t xml:space="preserve">🚫 减仓/离场触发：冲高后跌回 8.00 元下方且银行板块同步转弱，可分批锁定利润；若放量跌破关键均线，则退出部分趋势仓。</w:t>
      </w:r>
    </w:p>
    <w:p>
      <w:pPr>
        <w:numPr>
          <w:ilvl w:val="0"/>
          <w:numId w:val="1033"/>
        </w:numPr>
        <w:pStyle w:val="Compact"/>
      </w:pPr>
      <w:r>
        <w:t xml:space="preserve">✅ 条件加仓：8.10 元上方稳定承接、银行板块放量联动且指数未出现权重补跌时，才可小仓加仓。</w:t>
      </w:r>
    </w:p>
    <w:p>
      <w:pPr>
        <w:numPr>
          <w:ilvl w:val="0"/>
          <w:numId w:val="1033"/>
        </w:numPr>
        <w:pStyle w:val="Compact"/>
      </w:pPr>
      <w:r>
        <w:t xml:space="preserve">⚠️ 失效条件与风险：金融政策利好兑现、红利拥挤交易松动或净息差预期恶化，将削弱防御逻辑。</w:t>
      </w:r>
    </w:p>
    <w:p>
      <w:pPr>
        <w:pStyle w:val="Heading3"/>
      </w:pPr>
      <w:bookmarkStart w:id="58" w:name="农业银行6012885300-股成本-6.4244-元"/>
      <w:r>
        <w:t xml:space="preserve">⚠️ 农业银行（601288）｜5300 股｜成本 6.4244 元</w:t>
      </w:r>
      <w:bookmarkEnd w:id="58"/>
    </w:p>
    <w:p>
      <w:pPr>
        <w:numPr>
          <w:ilvl w:val="0"/>
          <w:numId w:val="1034"/>
        </w:numPr>
        <w:pStyle w:val="Compact"/>
      </w:pPr>
      <w:r>
        <w:t xml:space="preserve">📊 最新价、涨跌幅、量价和支撑阻力均未核验，当前盈亏幅度无法可靠计算。</w:t>
      </w:r>
    </w:p>
    <w:p>
      <w:pPr>
        <w:numPr>
          <w:ilvl w:val="0"/>
          <w:numId w:val="1034"/>
        </w:numPr>
        <w:pStyle w:val="Compact"/>
      </w:pPr>
      <w:r>
        <w:t xml:space="preserve">💡 今日动作：暂持有并优先补行情，不因缺价做机械加减仓；其银行/高股息属性与今日防御方向相符，但不能以板块逻辑替代个股价格验证。</w:t>
      </w:r>
    </w:p>
    <w:p>
      <w:pPr>
        <w:numPr>
          <w:ilvl w:val="0"/>
          <w:numId w:val="1034"/>
        </w:numPr>
        <w:pStyle w:val="Compact"/>
      </w:pPr>
      <w:r>
        <w:t xml:space="preserve">🚫 减仓/离场触发：开盘后若跌破 5 日线且放量、同时银行板块转弱，分批减仓；若出现公司公告利空，重新评估而非等待回本。</w:t>
      </w:r>
    </w:p>
    <w:p>
      <w:pPr>
        <w:numPr>
          <w:ilvl w:val="0"/>
          <w:numId w:val="1034"/>
        </w:numPr>
        <w:pStyle w:val="Compact"/>
      </w:pPr>
      <w:r>
        <w:t xml:space="preserve">✅ 条件加仓：仅在最新价确认、站稳关键均线、银行板块放量共振且工商银行等权重同步走强时小仓参与。</w:t>
      </w:r>
    </w:p>
    <w:p>
      <w:pPr>
        <w:numPr>
          <w:ilvl w:val="0"/>
          <w:numId w:val="1034"/>
        </w:numPr>
        <w:pStyle w:val="Compact"/>
      </w:pPr>
      <w:r>
        <w:t xml:space="preserve">⚠️ 失效条件与风险：缺乏实时行情时所有价位策略失效；风险包括净息差压力、红利风格切换及权重股补跌。</w:t>
      </w:r>
    </w:p>
    <w:p>
      <w:pPr>
        <w:pStyle w:val="Heading3"/>
      </w:pPr>
      <w:bookmarkStart w:id="59" w:name="持仓优先级"/>
      <w:r>
        <w:t xml:space="preserve">🎯 持仓优先级</w:t>
      </w:r>
      <w:bookmarkEnd w:id="59"/>
    </w:p>
    <w:p>
      <w:pPr>
        <w:numPr>
          <w:ilvl w:val="0"/>
          <w:numId w:val="1035"/>
        </w:numPr>
        <w:pStyle w:val="Compact"/>
      </w:pPr>
      <w:r>
        <w:t xml:space="preserve">🚫 最该减仓观察：风语筑，因昨日跌 6.58%且未见板块与资金确认；弘元绿能因深套且趋势偏弱，也不宜补仓摊薄。</w:t>
      </w:r>
    </w:p>
    <w:p>
      <w:pPr>
        <w:numPr>
          <w:ilvl w:val="0"/>
          <w:numId w:val="1035"/>
        </w:numPr>
        <w:pStyle w:val="Compact"/>
      </w:pPr>
      <w:r>
        <w:t xml:space="preserve">🛡️ 最稳健持有：工商银行，当前浮盈 14.73%，与政策和防御风格共振，但跌回 8.00 元下方需锁定部分利润。</w:t>
      </w:r>
    </w:p>
    <w:p>
      <w:pPr>
        <w:numPr>
          <w:ilvl w:val="0"/>
          <w:numId w:val="1035"/>
        </w:numPr>
        <w:pStyle w:val="Compact"/>
      </w:pPr>
      <w:r>
        <w:t xml:space="preserve">✅ 满足条件才可加仓：工商银行；必须满足 8.10 元上方承接、银行板块联动及指数不发生权重补跌。其余三只当前均不满足无条件加仓要求。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60" w:name="今日风险清单"/>
      <w:r>
        <w:t xml:space="preserve">⚠️ 今日风险清单</w:t>
      </w:r>
      <w:bookmarkEnd w:id="60"/>
    </w:p>
    <w:p>
      <w:pPr>
        <w:numPr>
          <w:ilvl w:val="0"/>
          <w:numId w:val="1036"/>
        </w:numPr>
        <w:pStyle w:val="Compact"/>
      </w:pPr>
      <w:r>
        <w:t xml:space="preserve">🚫 资金流入 TOP10、流出 TOP10、板块排名和活跃股榜单缺失，方向置信度低于常规盘前报告。</w:t>
      </w:r>
    </w:p>
    <w:p>
      <w:pPr>
        <w:numPr>
          <w:ilvl w:val="0"/>
          <w:numId w:val="1036"/>
        </w:numPr>
        <w:pStyle w:val="Compact"/>
      </w:pPr>
      <w:r>
        <w:t xml:space="preserve">🛢️ 原油突破 100 美元强化通胀压力；油气上游与下游成本方向将显著分化。</w:t>
      </w:r>
    </w:p>
    <w:p>
      <w:pPr>
        <w:numPr>
          <w:ilvl w:val="0"/>
          <w:numId w:val="1036"/>
        </w:numPr>
        <w:pStyle w:val="Compact"/>
      </w:pPr>
      <w:r>
        <w:t xml:space="preserve">📉 A50 下跌、昨日 4512 家下跌，早盘惯性释放风险仍在；沪指 3900 点为盘中风险观察位，不是无条件抄底位。</w:t>
      </w:r>
    </w:p>
    <w:p>
      <w:pPr>
        <w:numPr>
          <w:ilvl w:val="0"/>
          <w:numId w:val="1036"/>
        </w:numPr>
        <w:pStyle w:val="Compact"/>
      </w:pPr>
      <w:r>
        <w:t xml:space="preserve">⚠️ 公告源失败，所有持仓与候选股交易前必须补查停复牌、减持、监管和重大事项。</w:t>
      </w:r>
    </w:p>
    <w:p>
      <w:pPr>
        <w:numPr>
          <w:ilvl w:val="0"/>
          <w:numId w:val="1036"/>
        </w:numPr>
        <w:pStyle w:val="Compact"/>
      </w:pPr>
      <w:r>
        <w:t xml:space="preserve">💡 今日核心纪律：不依据缺失榜单追涨，不把华泰文本当唯一事实源，先确认资金、量能与板块联动再执行。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生成时间：2026-09-11 08:30（北京时间，Asia/Shanghai）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2026-09-11T00:36:40Z</dcterms:created>
  <dcterms:modified xsi:type="dcterms:W3CDTF">2026-09-11T00:36:40Z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