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全天复盘-2026-09-11周五"/>
      <w:r>
        <w:t xml:space="preserve">🕑 全天复盘 | 2026-09-11（周五）</w:t>
      </w:r>
      <w:bookmarkEnd w:id="20"/>
    </w:p>
    <w:p>
      <w:pPr>
        <w:pStyle w:val="Heading2"/>
      </w:pPr>
      <w:bookmarkStart w:id="21" w:name="数据质量与复盘结论"/>
      <w:r>
        <w:t xml:space="preserve">📊 数据质量与复盘结论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📉 指数数据完整：新浪主源与东方财富、腾讯交叉校验一致；上证指数、深证成指、创业板指、科创50、沪深300均收跌。</w:t>
      </w:r>
    </w:p>
    <w:p>
      <w:pPr>
        <w:numPr>
          <w:ilvl w:val="0"/>
          <w:numId w:val="1001"/>
        </w:numPr>
        <w:pStyle w:val="Compact"/>
      </w:pPr>
      <w:r>
        <w:t xml:space="preserve">🟢 市场广度由同花顺单源确认：上涨 643 家、下跌 4870 家、平盘 37 家、停牌 12 家、涨停 40 家、跌停 21 家。</w:t>
      </w:r>
    </w:p>
    <w:p>
      <w:pPr>
        <w:numPr>
          <w:ilvl w:val="0"/>
          <w:numId w:val="1001"/>
        </w:numPr>
        <w:pStyle w:val="Compact"/>
      </w:pPr>
      <w:r>
        <w:t xml:space="preserve">💰 同花顺单源确认全市场成交额 19869.53 亿元；因</w:t>
      </w:r>
      <w:r>
        <w:t xml:space="preserve"> </w:t>
      </w:r>
      <w:r>
        <w:rPr>
          <w:rStyle w:val="VerbatimChar"/>
        </w:rPr>
        <w:t xml:space="preserve">turnover_comparison_scope=unverified</w:t>
      </w:r>
      <w:r>
        <w:t xml:space="preserve">，只引用当日与昨日原始金额，不使用成交额变化百分比。</w:t>
      </w:r>
    </w:p>
    <w:p>
      <w:pPr>
        <w:numPr>
          <w:ilvl w:val="0"/>
          <w:numId w:val="1001"/>
        </w:numPr>
        <w:pStyle w:val="Compact"/>
      </w:pPr>
      <w:r>
        <w:t xml:space="preserve">⚠️ 关键源覆盖率仅 3/7（42.86%）：资金流、板块表现、活跃个股、涨跌停样本及核心个股多源校验失败。板块排名、资金 TOP10 和龙头 TOP20 均降级为未核验。</w:t>
      </w:r>
    </w:p>
    <w:p>
      <w:pPr>
        <w:numPr>
          <w:ilvl w:val="0"/>
          <w:numId w:val="1001"/>
        </w:numPr>
        <w:pStyle w:val="Compact"/>
      </w:pPr>
      <w:r>
        <w:t xml:space="preserve">🎭 顶层派生结果为</w:t>
      </w:r>
      <w:r>
        <w:t xml:space="preserve">“</w:t>
      </w:r>
      <w:r>
        <w:t xml:space="preserve">偏弱/防御</w:t>
      </w:r>
      <w:r>
        <w:t xml:space="preserve">”</w:t>
      </w:r>
      <w:r>
        <w:t xml:space="preserve">；仓位上限参考激进 40%、均衡 25%、保守 10%，但 4870 家下跌意味着执行应偏区间下沿。</w:t>
      </w:r>
    </w:p>
    <w:p>
      <w:pPr>
        <w:numPr>
          <w:ilvl w:val="0"/>
          <w:numId w:val="1001"/>
        </w:numPr>
        <w:pStyle w:val="Compact"/>
      </w:pPr>
      <w:r>
        <w:t xml:space="preserve">🔴 一句话盘面：上午恐慌下探、下午指数明显修复，但个股普跌未根本逆转，属于</w:t>
      </w:r>
      <w:r>
        <w:t xml:space="preserve">“</w:t>
      </w:r>
      <w:r>
        <w:t xml:space="preserve">指数回收、情绪仍弱、局部方向抱团</w:t>
      </w:r>
      <w:r>
        <w:t xml:space="preserve">”</w:t>
      </w:r>
      <w:r>
        <w:t xml:space="preserve">的分化日。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全天行情概览"/>
      <w:r>
        <w:t xml:space="preserve">📊 全天行情概览</w:t>
      </w:r>
      <w:bookmarkEnd w:id="22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指数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right"/>
            </w:pPr>
            <w:r>
              <w:t xml:space="preserve">收盘点位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right"/>
            </w:pPr>
            <w:r>
              <w:t xml:space="preserve">涨跌幅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多源校验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上证指数</w:t>
            </w:r>
          </w:p>
        </w:tc>
        <w:tc>
          <w:p>
            <w:pPr>
              <w:pStyle w:val="Compact"/>
              <w:jc w:val="right"/>
            </w:pPr>
            <w:r>
              <w:t xml:space="preserve">3888.1106</w:t>
            </w:r>
          </w:p>
        </w:tc>
        <w:tc>
          <w:p>
            <w:pPr>
              <w:pStyle w:val="Compact"/>
              <w:jc w:val="right"/>
            </w:pPr>
            <w:r>
              <w:t xml:space="preserve">📉 -1.1766%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深证成指</w:t>
            </w:r>
          </w:p>
        </w:tc>
        <w:tc>
          <w:p>
            <w:pPr>
              <w:pStyle w:val="Compact"/>
              <w:jc w:val="right"/>
            </w:pPr>
            <w:r>
              <w:t xml:space="preserve">13471.2570</w:t>
            </w:r>
          </w:p>
        </w:tc>
        <w:tc>
          <w:p>
            <w:pPr>
              <w:pStyle w:val="Compact"/>
              <w:jc w:val="right"/>
            </w:pPr>
            <w:r>
              <w:t xml:space="preserve">📉 -1.0752%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创业板指</w:t>
            </w:r>
          </w:p>
        </w:tc>
        <w:tc>
          <w:p>
            <w:pPr>
              <w:pStyle w:val="Compact"/>
              <w:jc w:val="right"/>
            </w:pPr>
            <w:r>
              <w:t xml:space="preserve">3322.0390</w:t>
            </w:r>
          </w:p>
        </w:tc>
        <w:tc>
          <w:p>
            <w:pPr>
              <w:pStyle w:val="Compact"/>
              <w:jc w:val="right"/>
            </w:pPr>
            <w:r>
              <w:t xml:space="preserve">📉 -0.4907%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科创50</w:t>
            </w:r>
          </w:p>
        </w:tc>
        <w:tc>
          <w:p>
            <w:pPr>
              <w:pStyle w:val="Compact"/>
              <w:jc w:val="right"/>
            </w:pPr>
            <w:r>
              <w:t xml:space="preserve">1553.3940</w:t>
            </w:r>
          </w:p>
        </w:tc>
        <w:tc>
          <w:p>
            <w:pPr>
              <w:pStyle w:val="Compact"/>
              <w:jc w:val="right"/>
            </w:pPr>
            <w:r>
              <w:t xml:space="preserve">📉 -1.0084%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沪深300</w:t>
            </w:r>
          </w:p>
        </w:tc>
        <w:tc>
          <w:p>
            <w:pPr>
              <w:pStyle w:val="Compact"/>
              <w:jc w:val="right"/>
            </w:pPr>
            <w:r>
              <w:t xml:space="preserve">4510.1554</w:t>
            </w:r>
          </w:p>
        </w:tc>
        <w:tc>
          <w:p>
            <w:pPr>
              <w:pStyle w:val="Compact"/>
              <w:jc w:val="right"/>
            </w:pPr>
            <w:r>
              <w:t xml:space="preserve">📉 -0.8406%</w:t>
            </w:r>
          </w:p>
        </w:tc>
        <w:tc>
          <w:p>
            <w:pPr>
              <w:pStyle w:val="Compact"/>
              <w:jc w:val="left"/>
            </w:pPr>
            <w:r>
              <w:t xml:space="preserve">新浪/东财/腾讯一致</w:t>
            </w:r>
          </w:p>
        </w:tc>
      </w:tr>
    </w:tbl>
    <w:p>
      <w:pPr>
        <w:numPr>
          <w:ilvl w:val="0"/>
          <w:numId w:val="1002"/>
        </w:numPr>
        <w:pStyle w:val="Compact"/>
      </w:pPr>
      <w:r>
        <w:t xml:space="preserve">💰 全市场成交额 19869.53 亿元，昨日原始成交额 16623.37 亿元，均为同花顺单源；比较口径未核验，不写变化百分比。</w:t>
      </w:r>
    </w:p>
    <w:p>
      <w:pPr>
        <w:numPr>
          <w:ilvl w:val="0"/>
          <w:numId w:val="1002"/>
        </w:numPr>
        <w:pStyle w:val="Compact"/>
      </w:pPr>
      <w:r>
        <w:t xml:space="preserve">📉 涨跌家数 643/4870，平盘 37 家；涨停 40 家、跌停 21 家。涨停扩容与跌停增加同时出现，说明修复伴随显著分歧。</w:t>
      </w:r>
    </w:p>
    <w:p>
      <w:pPr>
        <w:numPr>
          <w:ilvl w:val="0"/>
          <w:numId w:val="1002"/>
        </w:numPr>
        <w:pStyle w:val="Compact"/>
      </w:pPr>
      <w:r>
        <w:t xml:space="preserve">⚠️ 沪深300ETF净申购方向未进入采集 JSON，作为外资方向代理指标本轮未核验，禁止据此判断外资净流入或净流出。</w:t>
      </w:r>
    </w:p>
    <w:p>
      <w:pPr>
        <w:numPr>
          <w:ilvl w:val="0"/>
          <w:numId w:val="1002"/>
        </w:numPr>
        <w:pStyle w:val="Compact"/>
      </w:pPr>
      <w:r>
        <w:t xml:space="preserve">🎭 五项指数平均涨跌幅为 -0.92%（顶层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），但下跌家数占绝对多数，指数表现明显好于多数个股。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上午-vs-下午对比"/>
      <w:r>
        <w:t xml:space="preserve">⏰ 上午 vs 下午对比</w:t>
      </w:r>
      <w:bookmarkEnd w:id="23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指标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right"/>
            </w:pPr>
            <w:r>
              <w:t xml:space="preserve">午间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right"/>
            </w:pPr>
            <w:r>
              <w:t xml:space="preserve">收盘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right"/>
            </w:pPr>
            <w:r>
              <w:t xml:space="preserve">下午变化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上证指数</w:t>
            </w:r>
          </w:p>
        </w:tc>
        <w:tc>
          <w:p>
            <w:pPr>
              <w:pStyle w:val="Compact"/>
              <w:jc w:val="right"/>
            </w:pPr>
            <w:r>
              <w:t xml:space="preserve">3862.7303</w:t>
            </w:r>
          </w:p>
        </w:tc>
        <w:tc>
          <w:p>
            <w:pPr>
              <w:pStyle w:val="Compact"/>
              <w:jc w:val="right"/>
            </w:pPr>
            <w:r>
              <w:t xml:space="preserve">3888.1106</w:t>
            </w:r>
          </w:p>
        </w:tc>
        <w:tc>
          <w:p>
            <w:pPr>
              <w:pStyle w:val="Compact"/>
              <w:jc w:val="right"/>
            </w:pPr>
            <w:r>
              <w:t xml:space="preserve">📈 +25.3803点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深证成指</w:t>
            </w:r>
          </w:p>
        </w:tc>
        <w:tc>
          <w:p>
            <w:pPr>
              <w:pStyle w:val="Compact"/>
              <w:jc w:val="right"/>
            </w:pPr>
            <w:r>
              <w:t xml:space="preserve">13298.7690</w:t>
            </w:r>
          </w:p>
        </w:tc>
        <w:tc>
          <w:p>
            <w:pPr>
              <w:pStyle w:val="Compact"/>
              <w:jc w:val="right"/>
            </w:pPr>
            <w:r>
              <w:t xml:space="preserve">13471.2570</w:t>
            </w:r>
          </w:p>
        </w:tc>
        <w:tc>
          <w:p>
            <w:pPr>
              <w:pStyle w:val="Compact"/>
              <w:jc w:val="right"/>
            </w:pPr>
            <w:r>
              <w:t xml:space="preserve">📈 +172.4880点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创业板指</w:t>
            </w:r>
          </w:p>
        </w:tc>
        <w:tc>
          <w:p>
            <w:pPr>
              <w:pStyle w:val="Compact"/>
              <w:jc w:val="right"/>
            </w:pPr>
            <w:r>
              <w:t xml:space="preserve">3270.3500</w:t>
            </w:r>
          </w:p>
        </w:tc>
        <w:tc>
          <w:p>
            <w:pPr>
              <w:pStyle w:val="Compact"/>
              <w:jc w:val="right"/>
            </w:pPr>
            <w:r>
              <w:t xml:space="preserve">3322.0390</w:t>
            </w:r>
          </w:p>
        </w:tc>
        <w:tc>
          <w:p>
            <w:pPr>
              <w:pStyle w:val="Compact"/>
              <w:jc w:val="right"/>
            </w:pPr>
            <w:r>
              <w:t xml:space="preserve">📈 +51.6890点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科创50</w:t>
            </w:r>
          </w:p>
        </w:tc>
        <w:tc>
          <w:p>
            <w:pPr>
              <w:pStyle w:val="Compact"/>
              <w:jc w:val="right"/>
            </w:pPr>
            <w:r>
              <w:t xml:space="preserve">1522.2764</w:t>
            </w:r>
          </w:p>
        </w:tc>
        <w:tc>
          <w:p>
            <w:pPr>
              <w:pStyle w:val="Compact"/>
              <w:jc w:val="right"/>
            </w:pPr>
            <w:r>
              <w:t xml:space="preserve">1553.3940</w:t>
            </w:r>
          </w:p>
        </w:tc>
        <w:tc>
          <w:p>
            <w:pPr>
              <w:pStyle w:val="Compact"/>
              <w:jc w:val="right"/>
            </w:pPr>
            <w:r>
              <w:t xml:space="preserve">📈 +31.1176点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沪深300</w:t>
            </w:r>
          </w:p>
        </w:tc>
        <w:tc>
          <w:p>
            <w:pPr>
              <w:pStyle w:val="Compact"/>
              <w:jc w:val="right"/>
            </w:pPr>
            <w:r>
              <w:t xml:space="preserve">4476.1760</w:t>
            </w:r>
          </w:p>
        </w:tc>
        <w:tc>
          <w:p>
            <w:pPr>
              <w:pStyle w:val="Compact"/>
              <w:jc w:val="right"/>
            </w:pPr>
            <w:r>
              <w:t xml:space="preserve">4510.1554</w:t>
            </w:r>
          </w:p>
        </w:tc>
        <w:tc>
          <w:p>
            <w:pPr>
              <w:pStyle w:val="Compact"/>
              <w:jc w:val="right"/>
            </w:pPr>
            <w:r>
              <w:t xml:space="preserve">📈 +33.9794点</w:t>
            </w:r>
          </w:p>
        </w:tc>
      </w:tr>
    </w:tbl>
    <w:p>
      <w:pPr>
        <w:numPr>
          <w:ilvl w:val="0"/>
          <w:numId w:val="1003"/>
        </w:numPr>
        <w:pStyle w:val="Compact"/>
      </w:pPr>
      <w:r>
        <w:t xml:space="preserve">📈 下午修复最明显的是科创50和创业板指：相对午间分别回升 2.0441%和 1.5805%；科技成长由上午领跌转为较强修复，但收盘仍未翻红。</w:t>
      </w:r>
    </w:p>
    <w:p>
      <w:pPr>
        <w:numPr>
          <w:ilvl w:val="0"/>
          <w:numId w:val="1003"/>
        </w:numPr>
        <w:pStyle w:val="Compact"/>
      </w:pPr>
      <w:r>
        <w:t xml:space="preserve">🟢 上涨家数由午间 350 家增至 643 家，下跌家数由 5180 家降至 4870 家；赚钱效应边际改善，但仍有 4870 家下跌。</w:t>
      </w:r>
    </w:p>
    <w:p>
      <w:pPr>
        <w:numPr>
          <w:ilvl w:val="0"/>
          <w:numId w:val="1003"/>
        </w:numPr>
        <w:pStyle w:val="Compact"/>
      </w:pPr>
      <w:r>
        <w:t xml:space="preserve">🔴 涨停由 25 家增至 40 家，跌停也由 11 家增至 21 家，说明下午并非一致性回暖，而是强弱两端同时扩张。</w:t>
      </w:r>
    </w:p>
    <w:p>
      <w:pPr>
        <w:numPr>
          <w:ilvl w:val="0"/>
          <w:numId w:val="1003"/>
        </w:numPr>
        <w:pStyle w:val="Compact"/>
      </w:pPr>
      <w:r>
        <w:t xml:space="preserve">💰 午间累计成交额 12846.59 亿元，收盘为 19869.53 亿元，下午新增成交 7022.94 亿元；两者均来自同花顺单源。</w:t>
      </w:r>
    </w:p>
    <w:p>
      <w:pPr>
        <w:numPr>
          <w:ilvl w:val="0"/>
          <w:numId w:val="1003"/>
        </w:numPr>
        <w:pStyle w:val="Compact"/>
      </w:pPr>
      <w:r>
        <w:t xml:space="preserve">✅ 午盘</w:t>
      </w:r>
      <w:r>
        <w:t xml:space="preserve">“</w:t>
      </w:r>
      <w:r>
        <w:t xml:space="preserve">先看止跌、控制仓位</w:t>
      </w:r>
      <w:r>
        <w:t xml:space="preserve">”</w:t>
      </w:r>
      <w:r>
        <w:t xml:space="preserve">得到验证：指数下午回收；但</w:t>
      </w:r>
      <w:r>
        <w:t xml:space="preserve">“</w:t>
      </w:r>
      <w:r>
        <w:t xml:space="preserve">下跌家数明显收敛</w:t>
      </w:r>
      <w:r>
        <w:t xml:space="preserve">”</w:t>
      </w:r>
      <w:r>
        <w:t xml:space="preserve">只部分实现，普跌格局没有扭转。</w:t>
      </w:r>
    </w:p>
    <w:p>
      <w:pPr>
        <w:numPr>
          <w:ilvl w:val="0"/>
          <w:numId w:val="1003"/>
        </w:numPr>
        <w:pStyle w:val="Compact"/>
      </w:pPr>
      <w:r>
        <w:t xml:space="preserve">⚠️ 板块轮动和资金迁移因</w:t>
      </w:r>
      <w:r>
        <w:t xml:space="preserve"> </w:t>
      </w:r>
      <w:r>
        <w:rPr>
          <w:rStyle w:val="VerbatimChar"/>
        </w:rPr>
        <w:t xml:space="preserve">sector_performance</w:t>
      </w:r>
      <w:r>
        <w:t xml:space="preserve">、</w:t>
      </w:r>
      <w:r>
        <w:rPr>
          <w:rStyle w:val="VerbatimChar"/>
        </w:rPr>
        <w:t xml:space="preserve">money_flow</w:t>
      </w:r>
      <w:r>
        <w:t xml:space="preserve"> </w:t>
      </w:r>
      <w:r>
        <w:t xml:space="preserve">均失败，无法可靠量化</w:t>
      </w:r>
      <w:r>
        <w:t xml:space="preserve">“</w:t>
      </w:r>
      <w:r>
        <w:t xml:space="preserve">资金从哪里流向哪里</w:t>
      </w:r>
      <w:r>
        <w:t xml:space="preserve">”</w:t>
      </w:r>
      <w:r>
        <w:t xml:space="preserve">；华泰只提供局部线索，不能替代全市场结构化结论。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领涨板块-top10-龙头股"/>
      <w:r>
        <w:t xml:space="preserve">🔥 领涨板块 TOP10 &amp; 龙头股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🚫 真实领涨板块 TOP10 未核验：</w:t>
      </w:r>
      <w:r>
        <w:rPr>
          <w:rStyle w:val="VerbatimChar"/>
        </w:rPr>
        <w:t xml:space="preserve">sector_performance.ok=false</w:t>
      </w:r>
      <w:r>
        <w:t xml:space="preserve">，东方财富接口返回 HTTP 502；不得将华泰文本中的方向排列成真实市场 TOP10。</w:t>
      </w:r>
    </w:p>
    <w:p>
      <w:pPr>
        <w:numPr>
          <w:ilvl w:val="0"/>
          <w:numId w:val="1004"/>
        </w:numPr>
        <w:pStyle w:val="Compact"/>
      </w:pPr>
      <w:r>
        <w:t xml:space="preserve">🚫 TOP20 龙头股未核验：</w:t>
      </w:r>
      <w:r>
        <w:rPr>
          <w:rStyle w:val="VerbatimChar"/>
        </w:rPr>
        <w:t xml:space="preserve">active_stocks</w:t>
      </w:r>
      <w:r>
        <w:t xml:space="preserve">、</w:t>
      </w:r>
      <w:r>
        <w:rPr>
          <w:rStyle w:val="VerbatimChar"/>
        </w:rPr>
        <w:t xml:space="preserve">limit_stocks</w:t>
      </w:r>
      <w:r>
        <w:t xml:space="preserve">、</w:t>
      </w:r>
      <w:r>
        <w:rPr>
          <w:rStyle w:val="VerbatimChar"/>
        </w:rPr>
        <w:t xml:space="preserve">stock_quote_cross_checks</w:t>
      </w:r>
      <w:r>
        <w:t xml:space="preserve"> </w:t>
      </w:r>
      <w:r>
        <w:t xml:space="preserve">均失败，无法提供真实成交额、换手率、完整涨停状态及多源行情。</w:t>
      </w:r>
    </w:p>
    <w:p>
      <w:pPr>
        <w:numPr>
          <w:ilvl w:val="0"/>
          <w:numId w:val="1004"/>
        </w:numPr>
        <w:pStyle w:val="Compact"/>
      </w:pPr>
      <w:r>
        <w:t xml:space="preserve">🔎 华泰单源线索显示：元件/MLCC、铜缆高速连接/通信设备、军工装备、电力/公用事业局部活跃；这些只能作为明日观察方向。</w:t>
      </w:r>
    </w:p>
    <w:p>
      <w:pPr>
        <w:numPr>
          <w:ilvl w:val="0"/>
          <w:numId w:val="1004"/>
        </w:numPr>
        <w:pStyle w:val="Compact"/>
      </w:pPr>
      <w:r>
        <w:t xml:space="preserve">💰 华泰单源板块资金线索：中国AI 50净流入 42.74 亿元、液冷服务器净流入 34.50 亿元、5G净流入 34.41 亿元；未进入本地</w:t>
      </w:r>
      <w:r>
        <w:t xml:space="preserve"> </w:t>
      </w:r>
      <w:r>
        <w:rPr>
          <w:rStyle w:val="VerbatimChar"/>
        </w:rPr>
        <w:t xml:space="preserve">money_flow</w:t>
      </w:r>
      <w:r>
        <w:t xml:space="preserve"> </w:t>
      </w:r>
      <w:r>
        <w:t xml:space="preserve">榜单，不能称为全市场资金流入 TOP10。</w:t>
      </w:r>
    </w:p>
    <w:p>
      <w:pPr>
        <w:numPr>
          <w:ilvl w:val="0"/>
          <w:numId w:val="1004"/>
        </w:numPr>
        <w:pStyle w:val="Compact"/>
      </w:pPr>
      <w:r>
        <w:t xml:space="preserve">⚠️ 华泰内部文本还给出银行、建筑材料、公用事业相对较强的另一组描述，与</w:t>
      </w:r>
      <w:r>
        <w:t xml:space="preserve">“</w:t>
      </w:r>
      <w:r>
        <w:t xml:space="preserve">AI算力链聚焦</w:t>
      </w:r>
      <w:r>
        <w:t xml:space="preserve">”</w:t>
      </w:r>
      <w:r>
        <w:t xml:space="preserve">的表述并不完全相同；本报告明确保留差异，不静默合并成唯一主线。</w:t>
      </w:r>
    </w:p>
    <w:p>
      <w:pPr>
        <w:pStyle w:val="Heading3"/>
      </w:pPr>
      <w:bookmarkStart w:id="25" w:name="华泰结构化强势样本单源非全市场-top20"/>
      <w:r>
        <w:t xml:space="preserve">🚀 华泰结构化强势样本（单源，非全市场 TOP20）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📈 风语筑（603466）：13.27 元，涨 10.03%，主力净流入 4.93 亿元；数字展陈/文化传媒线索，涨停辨识度高，但封单和多源行情未核验。</w:t>
      </w:r>
    </w:p>
    <w:p>
      <w:pPr>
        <w:numPr>
          <w:ilvl w:val="0"/>
          <w:numId w:val="1005"/>
        </w:numPr>
        <w:pStyle w:val="Compact"/>
      </w:pPr>
      <w:r>
        <w:t xml:space="preserve">📈 铭普光磁（002902）：30.86 元，涨 10.02%，主力净流入 3.39 亿元；通信设备/光通信方向，与5G资金线索共振。</w:t>
      </w:r>
    </w:p>
    <w:p>
      <w:pPr>
        <w:numPr>
          <w:ilvl w:val="0"/>
          <w:numId w:val="1005"/>
        </w:numPr>
        <w:pStyle w:val="Compact"/>
      </w:pPr>
      <w:r>
        <w:t xml:space="preserve">📈 崇达技术（002815）：20.08 元，涨 10.03%，主力净流入 2.43 亿元；PCB/元件方向，与AI算力硬件线索共振。</w:t>
      </w:r>
    </w:p>
    <w:p>
      <w:pPr>
        <w:numPr>
          <w:ilvl w:val="0"/>
          <w:numId w:val="1005"/>
        </w:numPr>
        <w:pStyle w:val="Compact"/>
      </w:pPr>
      <w:r>
        <w:t xml:space="preserve">📈 长盈通（688143）：195.00 元，涨 15.49%，主力净流入 1.71 亿元；光纤与通信产业链线索，弹性高、追涨风险也高。</w:t>
      </w:r>
    </w:p>
    <w:p>
      <w:pPr>
        <w:numPr>
          <w:ilvl w:val="0"/>
          <w:numId w:val="1005"/>
        </w:numPr>
        <w:pStyle w:val="Compact"/>
      </w:pPr>
      <w:r>
        <w:t xml:space="preserve">📈 宏辉果蔬（603336）：10.09 元，涨 10.03%，主力净流入 1.12 亿元；消费/农产品方向，与已确认主线共振不足，只作事件样本。</w:t>
      </w:r>
    </w:p>
    <w:p>
      <w:pPr>
        <w:numPr>
          <w:ilvl w:val="0"/>
          <w:numId w:val="1005"/>
        </w:numPr>
        <w:pStyle w:val="Compact"/>
      </w:pPr>
      <w:r>
        <w:t xml:space="preserve">📈 高斯贝尔（002848）：15.24 元，涨 10.04%，主力净流入 9467.58 万元；通信设备方向，属于局部强势样本。</w:t>
      </w:r>
    </w:p>
    <w:p>
      <w:pPr>
        <w:numPr>
          <w:ilvl w:val="0"/>
          <w:numId w:val="1005"/>
        </w:numPr>
        <w:pStyle w:val="Compact"/>
      </w:pPr>
      <w:r>
        <w:t xml:space="preserve">📈 中视传媒（600088）：13.40 元，涨 10.02%，主力净流入 8377.75 万元；影视传媒方向，与风语筑形成单源内部呼应。</w:t>
      </w:r>
    </w:p>
    <w:p>
      <w:pPr>
        <w:numPr>
          <w:ilvl w:val="0"/>
          <w:numId w:val="1005"/>
        </w:numPr>
        <w:pStyle w:val="Compact"/>
      </w:pPr>
      <w:r>
        <w:t xml:space="preserve">📈 鼎信通讯（603421）：8.02 元，涨 10.01%，主力净流入 6762.16 万元；通信设备方向，需验证板块扩散。</w:t>
      </w:r>
    </w:p>
    <w:p>
      <w:pPr>
        <w:numPr>
          <w:ilvl w:val="0"/>
          <w:numId w:val="1005"/>
        </w:numPr>
        <w:pStyle w:val="Compact"/>
      </w:pPr>
      <w:r>
        <w:t xml:space="preserve">📈 瑞尔特（002790）：9.31 元，涨 10.05%，主力净流入 5368.50 万元；家居消费方向，与当日主线共振不足。</w:t>
      </w:r>
    </w:p>
    <w:p>
      <w:pPr>
        <w:numPr>
          <w:ilvl w:val="0"/>
          <w:numId w:val="1005"/>
        </w:numPr>
        <w:pStyle w:val="Compact"/>
      </w:pPr>
      <w:r>
        <w:t xml:space="preserve">📈 中新赛克（002912）：23.51 元，涨 10.01%，主力净流入 3402.13 万元；网络安全/通信方向，受信息基础设施逻辑映射。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6" w:name="资金流向与-领跌风险"/>
      <w:r>
        <w:t xml:space="preserve">💰 资金流向与 🔴 领跌风险</w:t>
      </w:r>
      <w:bookmarkEnd w:id="26"/>
    </w:p>
    <w:p>
      <w:pPr>
        <w:pStyle w:val="Heading3"/>
      </w:pPr>
      <w:bookmarkStart w:id="27" w:name="主力净流入-top10"/>
      <w:r>
        <w:t xml:space="preserve">📈 主力净流入 TOP10</w:t>
      </w:r>
      <w:bookmarkEnd w:id="27"/>
    </w:p>
    <w:p>
      <w:pPr>
        <w:numPr>
          <w:ilvl w:val="0"/>
          <w:numId w:val="1006"/>
        </w:numPr>
        <w:pStyle w:val="Compact"/>
      </w:pPr>
      <w:r>
        <w:t xml:space="preserve">🚫 未核验：</w:t>
      </w:r>
      <w:r>
        <w:rPr>
          <w:rStyle w:val="VerbatimChar"/>
        </w:rPr>
        <w:t xml:space="preserve">sources.money_flow.ok=false</w:t>
      </w:r>
      <w:r>
        <w:t xml:space="preserve">，采集 JSON 没有可用的全市场主力净流入 TOP10及对应金额。</w:t>
      </w:r>
    </w:p>
    <w:p>
      <w:pPr>
        <w:numPr>
          <w:ilvl w:val="0"/>
          <w:numId w:val="1006"/>
        </w:numPr>
        <w:pStyle w:val="Compact"/>
      </w:pPr>
      <w:r>
        <w:t xml:space="preserve">⚠️ 华泰</w:t>
      </w:r>
      <w:r>
        <w:t xml:space="preserve"> </w:t>
      </w:r>
      <w:r>
        <w:rPr>
          <w:rStyle w:val="VerbatimChar"/>
        </w:rPr>
        <w:t xml:space="preserve">select_stock</w:t>
      </w:r>
      <w:r>
        <w:t xml:space="preserve"> </w:t>
      </w:r>
      <w:r>
        <w:t xml:space="preserve">是条件筛选结果，华泰</w:t>
      </w:r>
      <w:r>
        <w:t xml:space="preserve"> </w:t>
      </w:r>
      <w:r>
        <w:rPr>
          <w:rStyle w:val="VerbatimChar"/>
        </w:rPr>
        <w:t xml:space="preserve">query_indicator</w:t>
      </w:r>
      <w:r>
        <w:t xml:space="preserve"> </w:t>
      </w:r>
      <w:r>
        <w:t xml:space="preserve">是文本分析，两者均不能替代采集 JSON 中缺失的全市场 TOP10。</w:t>
      </w:r>
    </w:p>
    <w:p>
      <w:pPr>
        <w:pStyle w:val="Heading3"/>
      </w:pPr>
      <w:bookmarkStart w:id="28" w:name="主力净流出-top10"/>
      <w:r>
        <w:t xml:space="preserve">📉 主力净流出 TOP10</w:t>
      </w:r>
      <w:bookmarkEnd w:id="28"/>
    </w:p>
    <w:p>
      <w:pPr>
        <w:numPr>
          <w:ilvl w:val="0"/>
          <w:numId w:val="1007"/>
        </w:numPr>
        <w:pStyle w:val="Compact"/>
      </w:pPr>
      <w:r>
        <w:t xml:space="preserve">🚫 未核验：</w:t>
      </w:r>
      <w:r>
        <w:rPr>
          <w:rStyle w:val="VerbatimChar"/>
        </w:rPr>
        <w:t xml:space="preserve">sources.money_flow.ok=false</w:t>
      </w:r>
      <w:r>
        <w:t xml:space="preserve">，采集 JSON 没有可用的全市场主力净流出 TOP10及对应金额。</w:t>
      </w:r>
    </w:p>
    <w:p>
      <w:pPr>
        <w:numPr>
          <w:ilvl w:val="0"/>
          <w:numId w:val="1007"/>
        </w:numPr>
        <w:pStyle w:val="Compact"/>
      </w:pPr>
      <w:r>
        <w:t xml:space="preserve">🔴 华泰单源文本称两市主力净流出 423.17 亿元，但缺少新浪/东方财富/腾讯结构化交叉验证，只能作为补充风险线索。</w:t>
      </w:r>
    </w:p>
    <w:p>
      <w:pPr>
        <w:pStyle w:val="Heading3"/>
      </w:pPr>
      <w:bookmarkStart w:id="29" w:name="领跌板块-top5"/>
      <w:r>
        <w:t xml:space="preserve">📉 领跌板块 TOP5</w:t>
      </w:r>
      <w:bookmarkEnd w:id="29"/>
    </w:p>
    <w:p>
      <w:pPr>
        <w:numPr>
          <w:ilvl w:val="0"/>
          <w:numId w:val="1008"/>
        </w:numPr>
        <w:pStyle w:val="Compact"/>
      </w:pPr>
      <w:r>
        <w:t xml:space="preserve">🚫 真实领跌板块 TOP5 未核验：</w:t>
      </w:r>
      <w:r>
        <w:rPr>
          <w:rStyle w:val="VerbatimChar"/>
        </w:rPr>
        <w:t xml:space="preserve">sector_performance.ok=false</w:t>
      </w:r>
      <w:r>
        <w:t xml:space="preserve">，不得自行补齐跌幅排名。</w:t>
      </w:r>
    </w:p>
    <w:p>
      <w:pPr>
        <w:numPr>
          <w:ilvl w:val="0"/>
          <w:numId w:val="1008"/>
        </w:numPr>
        <w:pStyle w:val="Compact"/>
      </w:pPr>
      <w:r>
        <w:t xml:space="preserve">⚠️ 华泰单源线索指向有色金属/工业金属、多元金融/证券、大消费，以及房地产、油气、煤炭等传统周期承压。</w:t>
      </w:r>
    </w:p>
    <w:p>
      <w:pPr>
        <w:numPr>
          <w:ilvl w:val="0"/>
          <w:numId w:val="1008"/>
        </w:numPr>
        <w:pStyle w:val="Compact"/>
      </w:pPr>
      <w:r>
        <w:t xml:space="preserve">🔴 华泰举例北方铜业、精艺股份、翠微股份、新力金融跌停，但本地</w:t>
      </w:r>
      <w:r>
        <w:t xml:space="preserve"> </w:t>
      </w:r>
      <w:r>
        <w:rPr>
          <w:rStyle w:val="VerbatimChar"/>
        </w:rPr>
        <w:t xml:space="preserve">limit_stocks</w:t>
      </w:r>
      <w:r>
        <w:t xml:space="preserve"> </w:t>
      </w:r>
      <w:r>
        <w:t xml:space="preserve">失败，完整跌停状态与价格未获多源校验。</w:t>
      </w:r>
    </w:p>
    <w:p>
      <w:pPr>
        <w:numPr>
          <w:ilvl w:val="0"/>
          <w:numId w:val="1008"/>
        </w:numPr>
        <w:pStyle w:val="Compact"/>
      </w:pPr>
      <w:r>
        <w:t xml:space="preserve">💡 风险定性：有色方向出现</w:t>
      </w:r>
      <w:r>
        <w:t xml:space="preserve">“</w:t>
      </w:r>
      <w:r>
        <w:t xml:space="preserve">前期强势后的集中兑现</w:t>
      </w:r>
      <w:r>
        <w:t xml:space="preserve">”</w:t>
      </w:r>
      <w:r>
        <w:t xml:space="preserve">线索；多元金融和消费则体现弱市风险偏好下降。明日不能因跌幅大而直接抄底。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华泰自选股观察"/>
      <w:r>
        <w:t xml:space="preserve">🧾 华泰自选股观察</w:t>
      </w:r>
      <w:bookmarkEnd w:id="30"/>
    </w:p>
    <w:p>
      <w:pPr>
        <w:numPr>
          <w:ilvl w:val="0"/>
          <w:numId w:val="1009"/>
        </w:numPr>
        <w:pStyle w:val="Compact"/>
      </w:pPr>
      <w:r>
        <w:t xml:space="preserve">📊 自选股 3 只报价全部成功；由于本地核心个股多源校验失败，以下行情均为华泰单源。整体强弱排序为风语筑最强、工商银行抗跌、弘元绿能偏弱。</w:t>
      </w:r>
    </w:p>
    <w:p>
      <w:pPr>
        <w:numPr>
          <w:ilvl w:val="0"/>
          <w:numId w:val="1009"/>
        </w:numPr>
        <w:pStyle w:val="Compact"/>
      </w:pPr>
      <w:r>
        <w:t xml:space="preserve">💡 风语筑与传媒/AI应用局部线索共振，工商银行与防御风格共振；弘元绿能与当日主线无明显共振，以跟踪为主、暂不作为主攻方向。</w:t>
      </w:r>
    </w:p>
    <w:p>
      <w:pPr>
        <w:pStyle w:val="Heading3"/>
      </w:pPr>
      <w:bookmarkStart w:id="31" w:name="弘元绿能"/>
      <w:r>
        <w:t xml:space="preserve">📉 603185 弘元绿能</w:t>
      </w:r>
      <w:bookmarkEnd w:id="31"/>
    </w:p>
    <w:p>
      <w:pPr>
        <w:numPr>
          <w:ilvl w:val="0"/>
          <w:numId w:val="1010"/>
        </w:numPr>
        <w:pStyle w:val="Compact"/>
      </w:pPr>
      <w:r>
        <w:t xml:space="preserve">华泰单源收盘价 14.08 元，跌 2.63%，昨收 14.46 元；所属光伏硅片/设备方向，本轮缺少板块排名和资金流确认。</w:t>
      </w:r>
    </w:p>
    <w:p>
      <w:pPr>
        <w:numPr>
          <w:ilvl w:val="0"/>
          <w:numId w:val="1010"/>
        </w:numPr>
        <w:pStyle w:val="Compact"/>
      </w:pPr>
      <w:r>
        <w:t xml:space="preserve">📊 较午间 14.00 元回升 0.08 元，但仍弱于昨收；与AI算力、通信、电力和防御线索均无明显共振。</w:t>
      </w:r>
    </w:p>
    <w:p>
      <w:pPr>
        <w:numPr>
          <w:ilvl w:val="0"/>
          <w:numId w:val="1010"/>
        </w:numPr>
        <w:pStyle w:val="Compact"/>
      </w:pPr>
      <w:r>
        <w:t xml:space="preserve">💡 判断：偏弱、继续观察，不做无条件补仓；只有重新站稳 14.46 元且光伏板块获得可核验资金回流，才可低吸跟踪。</w:t>
      </w:r>
    </w:p>
    <w:p>
      <w:pPr>
        <w:numPr>
          <w:ilvl w:val="0"/>
          <w:numId w:val="1010"/>
        </w:numPr>
        <w:pStyle w:val="Compact"/>
      </w:pPr>
      <w:r>
        <w:t xml:space="preserve">🚫 若后续跌破 13.01 元跌停参考价附近的风险区，或持续弱于光伏板块，应优先控制仓位。</w:t>
      </w:r>
    </w:p>
    <w:p>
      <w:pPr>
        <w:pStyle w:val="Heading3"/>
      </w:pPr>
      <w:bookmarkStart w:id="32" w:name="风语筑"/>
      <w:r>
        <w:t xml:space="preserve">📈 603466 风语筑</w:t>
      </w:r>
      <w:bookmarkEnd w:id="32"/>
    </w:p>
    <w:p>
      <w:pPr>
        <w:numPr>
          <w:ilvl w:val="0"/>
          <w:numId w:val="1011"/>
        </w:numPr>
        <w:pStyle w:val="Compact"/>
      </w:pPr>
      <w:r>
        <w:t xml:space="preserve">华泰单源收盘价 13.27 元，涨 10.03%，等于涨停价；所属数字展陈/文化传媒/AI应用方向。</w:t>
      </w:r>
    </w:p>
    <w:p>
      <w:pPr>
        <w:numPr>
          <w:ilvl w:val="0"/>
          <w:numId w:val="1011"/>
        </w:numPr>
        <w:pStyle w:val="Compact"/>
      </w:pPr>
      <w:r>
        <w:t xml:space="preserve">🔥 与华泰单源的影视传媒线索及中视传媒涨停样本共振，且进入华泰筛选结果首位，主力净流入 4.93 亿元。</w:t>
      </w:r>
    </w:p>
    <w:p>
      <w:pPr>
        <w:numPr>
          <w:ilvl w:val="0"/>
          <w:numId w:val="1011"/>
        </w:numPr>
        <w:pStyle w:val="Compact"/>
      </w:pPr>
      <w:r>
        <w:t xml:space="preserve">💡 判断：偏强但不追高；持仓者观察下一交易日竞价承接和开板回封能力，新开仓不在一致性高开时追入。</w:t>
      </w:r>
    </w:p>
    <w:p>
      <w:pPr>
        <w:numPr>
          <w:ilvl w:val="0"/>
          <w:numId w:val="1011"/>
        </w:numPr>
        <w:pStyle w:val="Compact"/>
      </w:pPr>
      <w:r>
        <w:t xml:space="preserve">🚫 若开板后不能快速回封，或跌破 12.06 元昨收价，强势逻辑失效，优先保护利润。</w:t>
      </w:r>
    </w:p>
    <w:p>
      <w:pPr>
        <w:pStyle w:val="Heading3"/>
      </w:pPr>
      <w:bookmarkStart w:id="33" w:name="工商银行"/>
      <w:r>
        <w:t xml:space="preserve">📈 601398 工商银行</w:t>
      </w:r>
      <w:bookmarkEnd w:id="33"/>
    </w:p>
    <w:p>
      <w:pPr>
        <w:numPr>
          <w:ilvl w:val="0"/>
          <w:numId w:val="1012"/>
        </w:numPr>
        <w:pStyle w:val="Compact"/>
      </w:pPr>
      <w:r>
        <w:t xml:space="preserve">华泰单源收盘价 8.11 元，涨 0.12%，昨收 8.10 元；所属银行/高股息方向，与</w:t>
      </w:r>
      <w:r>
        <w:t xml:space="preserve">“</w:t>
      </w:r>
      <w:r>
        <w:t xml:space="preserve">偏弱/防御</w:t>
      </w:r>
      <w:r>
        <w:t xml:space="preserve">”</w:t>
      </w:r>
      <w:r>
        <w:t xml:space="preserve">市场风格共振。</w:t>
      </w:r>
    </w:p>
    <w:p>
      <w:pPr>
        <w:numPr>
          <w:ilvl w:val="0"/>
          <w:numId w:val="1012"/>
        </w:numPr>
        <w:pStyle w:val="Compact"/>
      </w:pPr>
      <w:r>
        <w:t xml:space="preserve">📉 较午间 8.17 元回落 0.06 元，说明午后防御资金有所松动，但收盘仍高于昨收。</w:t>
      </w:r>
    </w:p>
    <w:p>
      <w:pPr>
        <w:numPr>
          <w:ilvl w:val="0"/>
          <w:numId w:val="1012"/>
        </w:numPr>
        <w:pStyle w:val="Compact"/>
      </w:pPr>
      <w:r>
        <w:t xml:space="preserve">💡 判断：继续观察、稳健持有，不追高；其功能更偏组合防御，而非高弹性主攻方向。</w:t>
      </w:r>
    </w:p>
    <w:p>
      <w:pPr>
        <w:numPr>
          <w:ilvl w:val="0"/>
          <w:numId w:val="1012"/>
        </w:numPr>
        <w:pStyle w:val="Compact"/>
      </w:pPr>
      <w:r>
        <w:t xml:space="preserve">🚫 若放量跌破 8.10 元且银行板块同步转弱，可分批锁定利润；若重新站稳 8.17 元并出现板块联动，可继续持有跟踪。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4" w:name="用户实盘持仓收盘策略"/>
      <w:r>
        <w:t xml:space="preserve">💼 用户实盘持仓收盘策略</w:t>
      </w:r>
      <w:bookmarkEnd w:id="34"/>
    </w:p>
    <w:p>
      <w:pPr>
        <w:pStyle w:val="BlockText"/>
      </w:pPr>
      <w:r>
        <w:t xml:space="preserve">盈亏按最新可得价与成本计算，不含费用；前三只为华泰单源收盘价。农业银行未取得可确认行情，不能虚构盈亏或价位。</w:t>
      </w:r>
    </w:p>
    <w:p>
      <w:pPr>
        <w:pStyle w:val="Heading3"/>
      </w:pPr>
      <w:bookmarkStart w:id="35" w:name="弘元绿能603185300股成本-26.6669元"/>
      <w:r>
        <w:t xml:space="preserve">📉 弘元绿能（603185）｜300股｜成本 26.6669元</w:t>
      </w:r>
      <w:bookmarkEnd w:id="35"/>
    </w:p>
    <w:p>
      <w:pPr>
        <w:numPr>
          <w:ilvl w:val="0"/>
          <w:numId w:val="1013"/>
        </w:numPr>
        <w:pStyle w:val="Compact"/>
      </w:pPr>
      <w:r>
        <w:t xml:space="preserve">📊 最新可得价 14.08 元，账面盈亏 -47.20%，浮亏 3776.07 元。</w:t>
      </w:r>
    </w:p>
    <w:p>
      <w:pPr>
        <w:numPr>
          <w:ilvl w:val="0"/>
          <w:numId w:val="1013"/>
        </w:numPr>
        <w:pStyle w:val="Compact"/>
      </w:pPr>
      <w:r>
        <w:t xml:space="preserve">💡 动作：反弹减仓观察，不摊薄。深套不是加仓理由，且未与当日主线共振。</w:t>
      </w:r>
    </w:p>
    <w:p>
      <w:pPr>
        <w:numPr>
          <w:ilvl w:val="0"/>
          <w:numId w:val="1013"/>
        </w:numPr>
        <w:pStyle w:val="Compact"/>
      </w:pPr>
      <w:r>
        <w:t xml:space="preserve">🚫 减仓触发：反弹至 14.46 元附近仍无法站稳，或再次放量走弱时分批降低仓位。</w:t>
      </w:r>
    </w:p>
    <w:p>
      <w:pPr>
        <w:numPr>
          <w:ilvl w:val="0"/>
          <w:numId w:val="1013"/>
        </w:numPr>
        <w:pStyle w:val="Compact"/>
      </w:pPr>
      <w:r>
        <w:t xml:space="preserve">✅ 条件加仓：仅在站稳 14.46 元、光伏板块止跌并出现可核验资金净流入后小仓评估。</w:t>
      </w:r>
    </w:p>
    <w:p>
      <w:pPr>
        <w:numPr>
          <w:ilvl w:val="0"/>
          <w:numId w:val="1013"/>
        </w:numPr>
        <w:pStyle w:val="Compact"/>
      </w:pPr>
      <w:r>
        <w:t xml:space="preserve">⚠️ 风险：光伏供需压力、弱趋势延续、成本距离过远；上述触发未满足前，不以</w:t>
      </w:r>
      <w:r>
        <w:t xml:space="preserve">“</w:t>
      </w:r>
      <w:r>
        <w:t xml:space="preserve">回本</w:t>
      </w:r>
      <w:r>
        <w:t xml:space="preserve">”</w:t>
      </w:r>
      <w:r>
        <w:t xml:space="preserve">作为交易依据。</w:t>
      </w:r>
    </w:p>
    <w:p>
      <w:pPr>
        <w:pStyle w:val="Heading3"/>
      </w:pPr>
      <w:bookmarkStart w:id="36" w:name="风语筑603466700股成本-13.2159元"/>
      <w:r>
        <w:t xml:space="preserve">📈 风语筑（603466）｜700股｜成本 13.2159元</w:t>
      </w:r>
      <w:bookmarkEnd w:id="36"/>
    </w:p>
    <w:p>
      <w:pPr>
        <w:numPr>
          <w:ilvl w:val="0"/>
          <w:numId w:val="1014"/>
        </w:numPr>
        <w:pStyle w:val="Compact"/>
      </w:pPr>
      <w:r>
        <w:t xml:space="preserve">📊 最新可得价 13.27 元，账面盈亏 +0.41%，浮盈 37.87 元。</w:t>
      </w:r>
    </w:p>
    <w:p>
      <w:pPr>
        <w:numPr>
          <w:ilvl w:val="0"/>
          <w:numId w:val="1014"/>
        </w:numPr>
        <w:pStyle w:val="Compact"/>
      </w:pPr>
      <w:r>
        <w:t xml:space="preserve">💡 动作：持有观察、保护利润，不追涨；下一交易日重点看涨停后的承接质量。</w:t>
      </w:r>
    </w:p>
    <w:p>
      <w:pPr>
        <w:numPr>
          <w:ilvl w:val="0"/>
          <w:numId w:val="1014"/>
        </w:numPr>
        <w:pStyle w:val="Compact"/>
      </w:pPr>
      <w:r>
        <w:t xml:space="preserve">🚫 减仓触发：开板后不能回封、跌破 13.2159 元成本且承接持续转弱时先减；跌破 12.06 元则强势逻辑明显失效。</w:t>
      </w:r>
    </w:p>
    <w:p>
      <w:pPr>
        <w:numPr>
          <w:ilvl w:val="0"/>
          <w:numId w:val="1014"/>
        </w:numPr>
        <w:pStyle w:val="Compact"/>
      </w:pPr>
      <w:r>
        <w:t xml:space="preserve">✅ 条件加仓：仅在分歧换手后重新封强、传媒/AI应用出现更多同向样本且指数不扩大下跌时考虑。</w:t>
      </w:r>
    </w:p>
    <w:p>
      <w:pPr>
        <w:numPr>
          <w:ilvl w:val="0"/>
          <w:numId w:val="1014"/>
        </w:numPr>
        <w:pStyle w:val="Compact"/>
      </w:pPr>
      <w:r>
        <w:t xml:space="preserve">⚠️ 风险：一日涨停后兑现、单源行情误差、板块扩散不足。</w:t>
      </w:r>
    </w:p>
    <w:p>
      <w:pPr>
        <w:pStyle w:val="Heading3"/>
      </w:pPr>
      <w:bookmarkStart w:id="37" w:name="工商银行6013981900股成本-7.0601元"/>
      <w:r>
        <w:t xml:space="preserve">📈 工商银行（601398）｜1900股｜成本 7.0601元</w:t>
      </w:r>
      <w:bookmarkEnd w:id="37"/>
    </w:p>
    <w:p>
      <w:pPr>
        <w:numPr>
          <w:ilvl w:val="0"/>
          <w:numId w:val="1015"/>
        </w:numPr>
        <w:pStyle w:val="Compact"/>
      </w:pPr>
      <w:r>
        <w:t xml:space="preserve">📊 最新可得价 8.11 元，账面盈亏 +14.87%，浮盈 1994.81 元。</w:t>
      </w:r>
    </w:p>
    <w:p>
      <w:pPr>
        <w:numPr>
          <w:ilvl w:val="0"/>
          <w:numId w:val="1015"/>
        </w:numPr>
        <w:pStyle w:val="Compact"/>
      </w:pPr>
      <w:r>
        <w:t xml:space="preserve">💡 动作：稳健持有，不追高；作为组合防御仓而非进攻仓。</w:t>
      </w:r>
    </w:p>
    <w:p>
      <w:pPr>
        <w:numPr>
          <w:ilvl w:val="0"/>
          <w:numId w:val="1015"/>
        </w:numPr>
        <w:pStyle w:val="Compact"/>
      </w:pPr>
      <w:r>
        <w:t xml:space="preserve">🚫 减仓触发：跌破 8.10 元且银行板块同步转弱时分批锁定利润；若权重补跌并失守趋势支撑，继续减仓。</w:t>
      </w:r>
    </w:p>
    <w:p>
      <w:pPr>
        <w:numPr>
          <w:ilvl w:val="0"/>
          <w:numId w:val="1015"/>
        </w:numPr>
        <w:pStyle w:val="Compact"/>
      </w:pPr>
      <w:r>
        <w:t xml:space="preserve">✅ 条件加仓：重新站稳午间 8.17 元、银行板块联动、指数不再下探时才可小仓评估。</w:t>
      </w:r>
    </w:p>
    <w:p>
      <w:pPr>
        <w:numPr>
          <w:ilvl w:val="0"/>
          <w:numId w:val="1015"/>
        </w:numPr>
        <w:pStyle w:val="Compact"/>
      </w:pPr>
      <w:r>
        <w:t xml:space="preserve">⚠️ 风险：红利交易拥挤、净息差压力、政策预期兑现后回落。</w:t>
      </w:r>
    </w:p>
    <w:p>
      <w:pPr>
        <w:pStyle w:val="Heading3"/>
      </w:pPr>
      <w:bookmarkStart w:id="38" w:name="农业银行6012885300股成本-6.4244元"/>
      <w:r>
        <w:t xml:space="preserve">⚠️ 农业银行（601288）｜5300股｜成本 6.4244元</w:t>
      </w:r>
      <w:bookmarkEnd w:id="38"/>
    </w:p>
    <w:p>
      <w:pPr>
        <w:numPr>
          <w:ilvl w:val="0"/>
          <w:numId w:val="1016"/>
        </w:numPr>
        <w:pStyle w:val="Compact"/>
      </w:pPr>
      <w:r>
        <w:t xml:space="preserve">📊 本轮最新价、涨跌幅、量价与支撑阻力均未核验，当前盈亏无法可靠计算。</w:t>
      </w:r>
    </w:p>
    <w:p>
      <w:pPr>
        <w:numPr>
          <w:ilvl w:val="0"/>
          <w:numId w:val="1016"/>
        </w:numPr>
        <w:pStyle w:val="Compact"/>
      </w:pPr>
      <w:r>
        <w:t xml:space="preserve">💡 动作：暂持有并优先补行情；不能仅凭银行防御逻辑或成本价执行加减仓。</w:t>
      </w:r>
    </w:p>
    <w:p>
      <w:pPr>
        <w:numPr>
          <w:ilvl w:val="0"/>
          <w:numId w:val="1016"/>
        </w:numPr>
        <w:pStyle w:val="Compact"/>
      </w:pPr>
      <w:r>
        <w:t xml:space="preserve">🚫 减仓触发：取得行情后，如放量跌破短期趋势且工商银行等大行同步转弱，分批降低仓位。</w:t>
      </w:r>
    </w:p>
    <w:p>
      <w:pPr>
        <w:numPr>
          <w:ilvl w:val="0"/>
          <w:numId w:val="1016"/>
        </w:numPr>
        <w:pStyle w:val="Compact"/>
      </w:pPr>
      <w:r>
        <w:t xml:space="preserve">✅ 条件加仓：仅在行情确认、银行板块相对强势延续、个股站稳关键均线后小仓评估。</w:t>
      </w:r>
    </w:p>
    <w:p>
      <w:pPr>
        <w:numPr>
          <w:ilvl w:val="0"/>
          <w:numId w:val="1016"/>
        </w:numPr>
        <w:pStyle w:val="Compact"/>
      </w:pPr>
      <w:r>
        <w:t xml:space="preserve">⚠️ 风险：缺少行情时所有具体价位策略均失效；关注红利风格切换、净息差与权重补跌风险。</w:t>
      </w:r>
    </w:p>
    <w:p>
      <w:pPr>
        <w:pStyle w:val="Heading3"/>
      </w:pPr>
      <w:bookmarkStart w:id="39" w:name="持仓优先级"/>
      <w:r>
        <w:t xml:space="preserve">🎯 持仓优先级</w:t>
      </w:r>
      <w:bookmarkEnd w:id="39"/>
    </w:p>
    <w:p>
      <w:pPr>
        <w:numPr>
          <w:ilvl w:val="0"/>
          <w:numId w:val="1017"/>
        </w:numPr>
        <w:pStyle w:val="Compact"/>
      </w:pPr>
      <w:r>
        <w:t xml:space="preserve">🚫 最该减仓观察：弘元绿能，浮亏 47.20%、趋势偏弱且与当日主线无共振，反弹以风险处理为先。</w:t>
      </w:r>
    </w:p>
    <w:p>
      <w:pPr>
        <w:numPr>
          <w:ilvl w:val="0"/>
          <w:numId w:val="1017"/>
        </w:numPr>
        <w:pStyle w:val="Compact"/>
      </w:pPr>
      <w:r>
        <w:t xml:space="preserve">🛡️ 最稳健持有：工商银行，浮盈 14.87%、防御属性有效，但需守住 8.10 元并防范午后走弱延续。</w:t>
      </w:r>
    </w:p>
    <w:p>
      <w:pPr>
        <w:numPr>
          <w:ilvl w:val="0"/>
          <w:numId w:val="1017"/>
        </w:numPr>
        <w:pStyle w:val="Compact"/>
      </w:pPr>
      <w:r>
        <w:t xml:space="preserve">🔥 最需保护短线成果：风语筑，涨停后已回到成本上方，重点不是追高，而是观察次日能否完成强势承接。</w:t>
      </w:r>
    </w:p>
    <w:p>
      <w:pPr>
        <w:numPr>
          <w:ilvl w:val="0"/>
          <w:numId w:val="1017"/>
        </w:numPr>
        <w:pStyle w:val="Compact"/>
      </w:pPr>
      <w:r>
        <w:t xml:space="preserve">✅ 满足条件才可加仓：风语筑或工商银行；必须出现板块联动、价格承接和指数稳定三项共同确认。弘元绿能与农业银行当前均不满足无条件加仓要求。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0" w:name="市场情绪综合判断"/>
      <w:r>
        <w:t xml:space="preserve">🎭 市场情绪综合判断</w:t>
      </w:r>
      <w:bookmarkEnd w:id="40"/>
    </w:p>
    <w:p>
      <w:pPr>
        <w:numPr>
          <w:ilvl w:val="0"/>
          <w:numId w:val="1018"/>
        </w:numPr>
        <w:pStyle w:val="Compact"/>
      </w:pPr>
      <w:r>
        <w:t xml:space="preserve">📉 赚钱效应：弱。643 家上涨、4870 家下跌，个股层面仍是显著普跌。</w:t>
      </w:r>
    </w:p>
    <w:p>
      <w:pPr>
        <w:numPr>
          <w:ilvl w:val="0"/>
          <w:numId w:val="1018"/>
        </w:numPr>
        <w:pStyle w:val="Compact"/>
      </w:pPr>
      <w:r>
        <w:t xml:space="preserve">🔴 分歧强度：高。涨停增至 40 家的同时跌停增至 21 家，强势抱团与弱势出清并存。</w:t>
      </w:r>
    </w:p>
    <w:p>
      <w:pPr>
        <w:numPr>
          <w:ilvl w:val="0"/>
          <w:numId w:val="1018"/>
        </w:numPr>
        <w:pStyle w:val="Compact"/>
      </w:pPr>
      <w:r>
        <w:t xml:space="preserve">📈 市场风格：偏弱/防御，但下午成长指数修复幅度更大，说明资金存在超跌回补，尚不能确认风格正式反转。</w:t>
      </w:r>
    </w:p>
    <w:p>
      <w:pPr>
        <w:numPr>
          <w:ilvl w:val="0"/>
          <w:numId w:val="1018"/>
        </w:numPr>
        <w:pStyle w:val="Compact"/>
      </w:pPr>
      <w:r>
        <w:t xml:space="preserve">🎭 情绪周期：退潮中的修复。午间接近恐慌，下午指数回收、上涨家数增加，但未达到普遍回暖。</w:t>
      </w:r>
    </w:p>
    <w:p>
      <w:pPr>
        <w:numPr>
          <w:ilvl w:val="0"/>
          <w:numId w:val="1018"/>
        </w:numPr>
        <w:pStyle w:val="Compact"/>
      </w:pPr>
      <w:r>
        <w:t xml:space="preserve">💰 量能判断：当日 19869.53 亿元可确认；比较口径为</w:t>
      </w:r>
      <w:r>
        <w:t xml:space="preserve"> </w:t>
      </w:r>
      <w:r>
        <w:rPr>
          <w:rStyle w:val="VerbatimChar"/>
        </w:rPr>
        <w:t xml:space="preserve">unverified</w:t>
      </w:r>
      <w:r>
        <w:t xml:space="preserve">，不能用变化百分比证明</w:t>
      </w:r>
      <w:r>
        <w:t xml:space="preserve">“</w:t>
      </w:r>
      <w:r>
        <w:t xml:space="preserve">放量修复</w:t>
      </w:r>
      <w:r>
        <w:t xml:space="preserve">”</w:t>
      </w:r>
      <w:r>
        <w:t xml:space="preserve">或</w:t>
      </w:r>
      <w:r>
        <w:t xml:space="preserve">“</w:t>
      </w:r>
      <w:r>
        <w:t xml:space="preserve">放量下跌</w:t>
      </w:r>
      <w:r>
        <w:t xml:space="preserve">”</w:t>
      </w:r>
      <w:r>
        <w:t xml:space="preserve">。</w:t>
      </w:r>
    </w:p>
    <w:p>
      <w:pPr>
        <w:numPr>
          <w:ilvl w:val="0"/>
          <w:numId w:val="1018"/>
        </w:numPr>
        <w:pStyle w:val="Compact"/>
      </w:pPr>
      <w:r>
        <w:t xml:space="preserve">⚠️ 关键观察：下一交易日若下跌家数显著下降、跌停数量回落且强势方向获得结构化资金确认，才可从</w:t>
      </w:r>
      <w:r>
        <w:t xml:space="preserve">“</w:t>
      </w:r>
      <w:r>
        <w:t xml:space="preserve">修复</w:t>
      </w:r>
      <w:r>
        <w:t xml:space="preserve">”</w:t>
      </w:r>
      <w:r>
        <w:t xml:space="preserve">上调为</w:t>
      </w:r>
      <w:r>
        <w:t xml:space="preserve">“</w:t>
      </w:r>
      <w:r>
        <w:t xml:space="preserve">回暖</w:t>
      </w:r>
      <w:r>
        <w:t xml:space="preserve">”</w:t>
      </w:r>
      <w:r>
        <w:t xml:space="preserve">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1" w:name="明日投资方向排序"/>
      <w:r>
        <w:t xml:space="preserve">🎯 明日投资方向排序</w:t>
      </w:r>
      <w:bookmarkEnd w:id="41"/>
    </w:p>
    <w:p>
      <w:pPr>
        <w:pStyle w:val="Heading3"/>
      </w:pPr>
      <w:bookmarkStart w:id="42" w:name="方向一ai算力硬件pcb元件铜缆高速连接优先级高但只做确认后的分歧机会"/>
      <w:r>
        <w:t xml:space="preserve">🚀 方向一：AI算力硬件—PCB/元件/铜缆高速连接（优先级：高，但只做确认后的分歧机会）</w:t>
      </w:r>
      <w:bookmarkEnd w:id="42"/>
    </w:p>
    <w:p>
      <w:pPr>
        <w:numPr>
          <w:ilvl w:val="0"/>
          <w:numId w:val="1019"/>
        </w:numPr>
        <w:pStyle w:val="Compact"/>
      </w:pPr>
      <w:r>
        <w:t xml:space="preserve">📌 证据链：华泰单源显示中国AI 50、液冷服务器、5G分别净流入 42.74、34.50、34.41 亿元；崇达技术涨 10.03%、净流入 2.43 亿元；铭普光磁涨 10.02%、净流入 3.39 亿元；科创50下午较午间回升 31.1176 点。</w:t>
      </w:r>
    </w:p>
    <w:p>
      <w:pPr>
        <w:numPr>
          <w:ilvl w:val="0"/>
          <w:numId w:val="1019"/>
        </w:numPr>
        <w:pStyle w:val="Compact"/>
      </w:pPr>
      <w:r>
        <w:t xml:space="preserve">🔥 核心标的：崇达技术（PCB/元件强势样本）、铭普光磁（通信设备资金样本）、长盈通（光纤链高弹性样本）、中新赛克（网络安全/通信样本）。以上均为华泰单源，未完成本地多源校验。</w:t>
      </w:r>
    </w:p>
    <w:p>
      <w:pPr>
        <w:numPr>
          <w:ilvl w:val="0"/>
          <w:numId w:val="1019"/>
        </w:numPr>
        <w:pStyle w:val="Compact"/>
      </w:pPr>
      <w:r>
        <w:t xml:space="preserve">💡 参与策略：激进仓仅在龙头分歧后承接转强时小仓试错；稳健仓等待板块资金榜单恢复并确认；保守仓不追涨停和高开。</w:t>
      </w:r>
    </w:p>
    <w:p>
      <w:pPr>
        <w:numPr>
          <w:ilvl w:val="0"/>
          <w:numId w:val="1019"/>
        </w:numPr>
        <w:pStyle w:val="Compact"/>
      </w:pPr>
      <w:r>
        <w:t xml:space="preserve">✅ 触发条件：板块继续出现多股联动、核心股不炸板、科创50不再领跌，且恢复后的结构化资金数据确认净流入延续。</w:t>
      </w:r>
    </w:p>
    <w:p>
      <w:pPr>
        <w:numPr>
          <w:ilvl w:val="0"/>
          <w:numId w:val="1019"/>
        </w:numPr>
        <w:pStyle w:val="Compact"/>
      </w:pPr>
      <w:r>
        <w:t xml:space="preserve">🚫 失效条件：强势股开板走弱、板块无扩散、科创50重新放量下探，或资金转为可核验净流出。</w:t>
      </w:r>
    </w:p>
    <w:p>
      <w:pPr>
        <w:numPr>
          <w:ilvl w:val="0"/>
          <w:numId w:val="1019"/>
        </w:numPr>
        <w:pStyle w:val="Compact"/>
      </w:pPr>
      <w:r>
        <w:t xml:space="preserve">⚠️ 风险：单源数据误差、高位兑现、海外科技波动、局部个股强势被误判为全板块行情。</w:t>
      </w:r>
    </w:p>
    <w:p>
      <w:pPr>
        <w:pStyle w:val="Heading3"/>
      </w:pPr>
      <w:bookmarkStart w:id="43" w:name="方向二电力公用事业算电协同优先级中高"/>
      <w:r>
        <w:t xml:space="preserve">🚀 方向二：电力—公用事业/算电协同（优先级：中高）</w:t>
      </w:r>
      <w:bookmarkEnd w:id="43"/>
    </w:p>
    <w:p>
      <w:pPr>
        <w:numPr>
          <w:ilvl w:val="0"/>
          <w:numId w:val="1020"/>
        </w:numPr>
        <w:pStyle w:val="Compact"/>
      </w:pPr>
      <w:r>
        <w:t xml:space="preserve">📌 证据链：顶层派生风格为偏弱/防御；华泰文本称杭州热电、闽东电力、江苏新能涨停；华泰另一文本给出公用事业净流入 18.76 亿元。因缺少本地板块榜单，均为单源补充线索。</w:t>
      </w:r>
    </w:p>
    <w:p>
      <w:pPr>
        <w:numPr>
          <w:ilvl w:val="0"/>
          <w:numId w:val="1020"/>
        </w:numPr>
        <w:pStyle w:val="Compact"/>
      </w:pPr>
      <w:r>
        <w:t xml:space="preserve">🔥 核心标的：杭州热电、闽东电力、江苏新能；入选理由为华泰文本中的涨停辨识度与防御属性，精确收盘行情及多源状态未核验。</w:t>
      </w:r>
    </w:p>
    <w:p>
      <w:pPr>
        <w:numPr>
          <w:ilvl w:val="0"/>
          <w:numId w:val="1020"/>
        </w:numPr>
        <w:pStyle w:val="Compact"/>
      </w:pPr>
      <w:r>
        <w:t xml:space="preserve">💡 参与策略：激进只做龙头换手后的回封；稳健等待板块扩散与资金延续；保守以银行防御底仓替代题材追涨。</w:t>
      </w:r>
    </w:p>
    <w:p>
      <w:pPr>
        <w:numPr>
          <w:ilvl w:val="0"/>
          <w:numId w:val="1020"/>
        </w:numPr>
        <w:pStyle w:val="Compact"/>
      </w:pPr>
      <w:r>
        <w:t xml:space="preserve">✅ 触发条件：三只核心样本至少两只保持强势、板块出现新增跟随股、市场下跌家数继续收敛。</w:t>
      </w:r>
    </w:p>
    <w:p>
      <w:pPr>
        <w:numPr>
          <w:ilvl w:val="0"/>
          <w:numId w:val="1020"/>
        </w:numPr>
        <w:pStyle w:val="Compact"/>
      </w:pPr>
      <w:r>
        <w:t xml:space="preserve">🚫 失效条件：龙头开板无法回封、公用事业资金线索转弱、指数修复但防御板块明显补跌。</w:t>
      </w:r>
    </w:p>
    <w:p>
      <w:pPr>
        <w:numPr>
          <w:ilvl w:val="0"/>
          <w:numId w:val="1020"/>
        </w:numPr>
        <w:pStyle w:val="Compact"/>
      </w:pPr>
      <w:r>
        <w:t xml:space="preserve">⚠️ 风险：弱市抱团瓦解、算电协同预期兑现不足、高位题材快速轮动。</w:t>
      </w:r>
    </w:p>
    <w:p>
      <w:pPr>
        <w:pStyle w:val="Heading3"/>
      </w:pPr>
      <w:bookmarkStart w:id="44" w:name="方向三银行国有大行高股息优先级中"/>
      <w:r>
        <w:t xml:space="preserve">🚀 方向三：银行—国有大行高股息（优先级：中）</w:t>
      </w:r>
      <w:bookmarkEnd w:id="44"/>
    </w:p>
    <w:p>
      <w:pPr>
        <w:numPr>
          <w:ilvl w:val="0"/>
          <w:numId w:val="1021"/>
        </w:numPr>
        <w:pStyle w:val="Compact"/>
      </w:pPr>
      <w:r>
        <w:t xml:space="preserve">📌 证据链：市场风格为偏弱/防御；工商银行收盘 8.11 元、涨 0.12%，在五项指数全跌时保持红盘；盘前已确认金融强国</w:t>
      </w:r>
      <w:r>
        <w:t xml:space="preserve">“</w:t>
      </w:r>
      <w:r>
        <w:t xml:space="preserve">十五五</w:t>
      </w:r>
      <w:r>
        <w:t xml:space="preserve">”</w:t>
      </w:r>
      <w:r>
        <w:t xml:space="preserve">规划催化。</w:t>
      </w:r>
    </w:p>
    <w:p>
      <w:pPr>
        <w:numPr>
          <w:ilvl w:val="0"/>
          <w:numId w:val="1021"/>
        </w:numPr>
        <w:pStyle w:val="Compact"/>
      </w:pPr>
      <w:r>
        <w:t xml:space="preserve">🔥 核心标的：工商银行（华泰单源行情已取得、实盘浮盈 14.87%）、农业银行（实盘持仓，但收盘行情未核验）。</w:t>
      </w:r>
    </w:p>
    <w:p>
      <w:pPr>
        <w:numPr>
          <w:ilvl w:val="0"/>
          <w:numId w:val="1021"/>
        </w:numPr>
        <w:pStyle w:val="Compact"/>
      </w:pPr>
      <w:r>
        <w:t xml:space="preserve">💡 参与策略：激进不追权重；稳健保留工商银行防御底仓；保守等待工商银行重新站稳 8.17 元及大行联动后再评估。</w:t>
      </w:r>
    </w:p>
    <w:p>
      <w:pPr>
        <w:numPr>
          <w:ilvl w:val="0"/>
          <w:numId w:val="1021"/>
        </w:numPr>
        <w:pStyle w:val="Compact"/>
      </w:pPr>
      <w:r>
        <w:t xml:space="preserve">✅ 触发条件：工商银行守住 8.10 元、国有大行同步强于指数、市场仍维持防御偏好。</w:t>
      </w:r>
    </w:p>
    <w:p>
      <w:pPr>
        <w:numPr>
          <w:ilvl w:val="0"/>
          <w:numId w:val="1021"/>
        </w:numPr>
        <w:pStyle w:val="Compact"/>
      </w:pPr>
      <w:r>
        <w:t xml:space="preserve">🚫 失效条件：工商银行跌破 8.10 元且银行权重补跌，或市场明确转向高弹性成长并持续虹吸防御资金。</w:t>
      </w:r>
    </w:p>
    <w:p>
      <w:pPr>
        <w:numPr>
          <w:ilvl w:val="0"/>
          <w:numId w:val="1021"/>
        </w:numPr>
        <w:pStyle w:val="Compact"/>
      </w:pPr>
      <w:r>
        <w:t xml:space="preserve">⚠️ 风险：净息差压力、红利交易拥挤、政策利好兑现。</w:t>
      </w:r>
    </w:p>
    <w:p>
      <w:pPr>
        <w:pStyle w:val="Heading3"/>
      </w:pPr>
      <w:bookmarkStart w:id="45" w:name="方向四文化传媒数字展陈ai应用优先级观察"/>
      <w:r>
        <w:t xml:space="preserve">🔎 方向四：文化传媒—数字展陈/AI应用（优先级：观察）</w:t>
      </w:r>
      <w:bookmarkEnd w:id="45"/>
    </w:p>
    <w:p>
      <w:pPr>
        <w:numPr>
          <w:ilvl w:val="0"/>
          <w:numId w:val="1022"/>
        </w:numPr>
        <w:pStyle w:val="Compact"/>
      </w:pPr>
      <w:r>
        <w:t xml:space="preserve">📌 证据链：风语筑 13.27 元、涨 10.03%、净流入 4.93 亿元；中视传媒 13.40 元、涨 10.02%、净流入 8377.75 万元；两只形成华泰单源内部共振。</w:t>
      </w:r>
    </w:p>
    <w:p>
      <w:pPr>
        <w:numPr>
          <w:ilvl w:val="0"/>
          <w:numId w:val="1022"/>
        </w:numPr>
        <w:pStyle w:val="Compact"/>
      </w:pPr>
      <w:r>
        <w:t xml:space="preserve">🔥 核心标的：风语筑（自选股且收于涨停价）、中视传媒（影视传媒强势样本）。</w:t>
      </w:r>
    </w:p>
    <w:p>
      <w:pPr>
        <w:numPr>
          <w:ilvl w:val="0"/>
          <w:numId w:val="1022"/>
        </w:numPr>
        <w:pStyle w:val="Compact"/>
      </w:pPr>
      <w:r>
        <w:t xml:space="preserve">💡 参与策略：持仓者保护利润；新开仓只等分歧回封，不追一致性高开。</w:t>
      </w:r>
    </w:p>
    <w:p>
      <w:pPr>
        <w:numPr>
          <w:ilvl w:val="0"/>
          <w:numId w:val="1022"/>
        </w:numPr>
        <w:pStyle w:val="Compact"/>
      </w:pPr>
      <w:r>
        <w:t xml:space="preserve">✅ 触发条件：风语筑开板后快速回封、中视传媒维持强势、传媒方向出现第三只以上有效跟随样本。</w:t>
      </w:r>
    </w:p>
    <w:p>
      <w:pPr>
        <w:numPr>
          <w:ilvl w:val="0"/>
          <w:numId w:val="1022"/>
        </w:numPr>
        <w:pStyle w:val="Compact"/>
      </w:pPr>
      <w:r>
        <w:t xml:space="preserve">🚫 失效条件：风语筑跌破 12.06 元昨收价、中视传媒同步走弱，或板块无扩散。</w:t>
      </w:r>
    </w:p>
    <w:p>
      <w:pPr>
        <w:numPr>
          <w:ilvl w:val="0"/>
          <w:numId w:val="1022"/>
        </w:numPr>
        <w:pStyle w:val="Compact"/>
      </w:pPr>
      <w:r>
        <w:t xml:space="preserve">⚠️ 风险：单日事件脉冲、涨停后兑现、缺少本地板块成交和资金交叉验证。</w:t>
      </w:r>
    </w:p>
    <w:p>
      <w:pPr>
        <w:pStyle w:val="Heading3"/>
      </w:pPr>
      <w:bookmarkStart w:id="46" w:name="方向五工业金属有色优先级回避观察"/>
      <w:r>
        <w:t xml:space="preserve">🚫 方向五：工业金属/有色（优先级：回避观察）</w:t>
      </w:r>
      <w:bookmarkEnd w:id="46"/>
    </w:p>
    <w:p>
      <w:pPr>
        <w:numPr>
          <w:ilvl w:val="0"/>
          <w:numId w:val="1023"/>
        </w:numPr>
        <w:pStyle w:val="Compact"/>
      </w:pPr>
      <w:r>
        <w:t xml:space="preserve">📌 证据链：华泰单源将有色金属/工业金属列为领跌方向，并给出北方铜业、精艺股份跌停线索；全市场下跌 4870 家，弱势环境不利于接急跌。</w:t>
      </w:r>
    </w:p>
    <w:p>
      <w:pPr>
        <w:numPr>
          <w:ilvl w:val="0"/>
          <w:numId w:val="1023"/>
        </w:numPr>
        <w:pStyle w:val="Compact"/>
      </w:pPr>
      <w:r>
        <w:t xml:space="preserve">🔥 风险样本：北方铜业、精艺股份、云南铜业、江西铜业；均只作为华泰文本风险线索，不引用未核验价格。</w:t>
      </w:r>
    </w:p>
    <w:p>
      <w:pPr>
        <w:numPr>
          <w:ilvl w:val="0"/>
          <w:numId w:val="1023"/>
        </w:numPr>
        <w:pStyle w:val="Compact"/>
      </w:pPr>
      <w:r>
        <w:t xml:space="preserve">💡 参与策略：激进、稳健、保守三类账户均不接首日急跌；只观察止跌结构。</w:t>
      </w:r>
    </w:p>
    <w:p>
      <w:pPr>
        <w:numPr>
          <w:ilvl w:val="0"/>
          <w:numId w:val="1023"/>
        </w:numPr>
        <w:pStyle w:val="Compact"/>
      </w:pPr>
      <w:r>
        <w:t xml:space="preserve">✅ 重新观察条件：跌停风险明显收敛、板块资金恢复为可核验净流入、核心股收复关键均线。</w:t>
      </w:r>
    </w:p>
    <w:p>
      <w:pPr>
        <w:numPr>
          <w:ilvl w:val="0"/>
          <w:numId w:val="1023"/>
        </w:numPr>
        <w:pStyle w:val="Compact"/>
      </w:pPr>
      <w:r>
        <w:t xml:space="preserve">🚫 失效条件：继续放量下跌、跌停扩散、商品价格与股票同步走弱。</w:t>
      </w:r>
    </w:p>
    <w:p>
      <w:pPr>
        <w:numPr>
          <w:ilvl w:val="0"/>
          <w:numId w:val="1023"/>
        </w:numPr>
        <w:pStyle w:val="Compact"/>
      </w:pPr>
      <w:r>
        <w:t xml:space="preserve">⚠️ 风险：前期获利兑现、商品波动、流动性踩踏。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7" w:name="明日展望与仓位策略"/>
      <w:r>
        <w:t xml:space="preserve">🎯 明日展望与仓位策略</w:t>
      </w:r>
      <w:bookmarkEnd w:id="47"/>
    </w:p>
    <w:p>
      <w:pPr>
        <w:numPr>
          <w:ilvl w:val="0"/>
          <w:numId w:val="1024"/>
        </w:numPr>
        <w:pStyle w:val="Compact"/>
      </w:pPr>
      <w:r>
        <w:t xml:space="preserve">📊 市场判断：震荡修复预期，但不把下午回升直接定义为反转。先看广度和跌停风险，再看指数是否延续回收。</w:t>
      </w:r>
    </w:p>
    <w:p>
      <w:pPr>
        <w:numPr>
          <w:ilvl w:val="0"/>
          <w:numId w:val="1024"/>
        </w:numPr>
        <w:pStyle w:val="Compact"/>
      </w:pPr>
      <w:r>
        <w:t xml:space="preserve">🔥 延续性排序：AI算力硬件需要资金榜单恢复确认；电力具防御与事件线索；银行适合底仓防御；传媒只做涨停后的分歧验证。</w:t>
      </w:r>
    </w:p>
    <w:p>
      <w:pPr>
        <w:numPr>
          <w:ilvl w:val="0"/>
          <w:numId w:val="1024"/>
        </w:numPr>
        <w:pStyle w:val="Compact"/>
      </w:pPr>
      <w:r>
        <w:t xml:space="preserve">💡 激进仓：20%-30%，不超过派生上限 40%；只做已有强势样本的分歧承接，单一方向不重仓。</w:t>
      </w:r>
    </w:p>
    <w:p>
      <w:pPr>
        <w:numPr>
          <w:ilvl w:val="0"/>
          <w:numId w:val="1024"/>
        </w:numPr>
        <w:pStyle w:val="Compact"/>
      </w:pPr>
      <w:r>
        <w:t xml:space="preserve">💡 稳健仓：15%-25%，以工商银行等防御底仓为主，等待AI硬件或电力出现结构化资金确认后再加风险仓。</w:t>
      </w:r>
    </w:p>
    <w:p>
      <w:pPr>
        <w:numPr>
          <w:ilvl w:val="0"/>
          <w:numId w:val="1024"/>
        </w:numPr>
        <w:pStyle w:val="Compact"/>
      </w:pPr>
      <w:r>
        <w:t xml:space="preserve">💡 保守仓：0%-10%，保持现金，等下跌家数显著收敛、跌停数下降和指数企稳三项共振。</w:t>
      </w:r>
    </w:p>
    <w:p>
      <w:pPr>
        <w:numPr>
          <w:ilvl w:val="0"/>
          <w:numId w:val="1024"/>
        </w:numPr>
        <w:pStyle w:val="Compact"/>
      </w:pPr>
      <w:r>
        <w:t xml:space="preserve">✅ 加仓触发：上证指数不再下探、科创50维持修复、下跌家数明显低于 4870 家，并有真实资金流榜单确认主线。</w:t>
      </w:r>
    </w:p>
    <w:p>
      <w:pPr>
        <w:numPr>
          <w:ilvl w:val="0"/>
          <w:numId w:val="1024"/>
        </w:numPr>
        <w:pStyle w:val="Compact"/>
      </w:pPr>
      <w:r>
        <w:t xml:space="preserve">🚫 降仓触发：指数再度跌破当日低位区域、跌停数继续高于 21 家并扩散、强势股集中炸板。</w:t>
      </w:r>
    </w:p>
    <w:p>
      <w:pPr>
        <w:numPr>
          <w:ilvl w:val="0"/>
          <w:numId w:val="1024"/>
        </w:numPr>
        <w:pStyle w:val="Compact"/>
      </w:pPr>
      <w:r>
        <w:t xml:space="preserve">⚠️ 周末/事件风险：板块与公告源本轮不完整，下一交易日前需补查公告、海外事件与经济数据；不以未核验消息直接下单。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8" w:name="复盘风险清单"/>
      <w:r>
        <w:t xml:space="preserve">⚠️ 复盘风险清单</w:t>
      </w:r>
      <w:bookmarkEnd w:id="48"/>
    </w:p>
    <w:p>
      <w:pPr>
        <w:numPr>
          <w:ilvl w:val="0"/>
          <w:numId w:val="1025"/>
        </w:numPr>
        <w:pStyle w:val="Compact"/>
      </w:pPr>
      <w:r>
        <w:t xml:space="preserve">🚫 全市场资金流入 TOP10、流出 TOP10、领涨 TOP10、领跌 TOP5和龙头 TOP20均缺失，报告已明确降级，未使用搜索数据补榜。</w:t>
      </w:r>
    </w:p>
    <w:p>
      <w:pPr>
        <w:numPr>
          <w:ilvl w:val="0"/>
          <w:numId w:val="1025"/>
        </w:numPr>
        <w:pStyle w:val="Compact"/>
      </w:pPr>
      <w:r>
        <w:t xml:space="preserve">⚠️ 华泰文本存在</w:t>
      </w:r>
      <w:r>
        <w:t xml:space="preserve">“</w:t>
      </w:r>
      <w:r>
        <w:t xml:space="preserve">AI算力聚焦</w:t>
      </w:r>
      <w:r>
        <w:t xml:space="preserve">”</w:t>
      </w:r>
      <w:r>
        <w:t xml:space="preserve">与</w:t>
      </w:r>
      <w:r>
        <w:t xml:space="preserve">“</w:t>
      </w:r>
      <w:r>
        <w:t xml:space="preserve">银行/建材/公用事业相对较强</w:t>
      </w:r>
      <w:r>
        <w:t xml:space="preserve">”</w:t>
      </w:r>
      <w:r>
        <w:t xml:space="preserve">两组不完全一致的主线描述；由于本地板块与资金源失败，不做静默裁决。</w:t>
      </w:r>
    </w:p>
    <w:p>
      <w:pPr>
        <w:numPr>
          <w:ilvl w:val="0"/>
          <w:numId w:val="1025"/>
        </w:numPr>
        <w:pStyle w:val="Compact"/>
      </w:pPr>
      <w:r>
        <w:t xml:space="preserve">📉 4870 家下跌仍是核心风险，指数回收不能代表多数个股已经企稳。</w:t>
      </w:r>
    </w:p>
    <w:p>
      <w:pPr>
        <w:numPr>
          <w:ilvl w:val="0"/>
          <w:numId w:val="1025"/>
        </w:numPr>
        <w:pStyle w:val="Compact"/>
      </w:pPr>
      <w:r>
        <w:t xml:space="preserve">💰 19869.53 亿元成交额可确认，但比较范围未核验，禁止使用成交额变化百分比强化仓位结论。</w:t>
      </w:r>
    </w:p>
    <w:p>
      <w:pPr>
        <w:numPr>
          <w:ilvl w:val="0"/>
          <w:numId w:val="1025"/>
        </w:numPr>
        <w:pStyle w:val="Compact"/>
      </w:pPr>
      <w:r>
        <w:t xml:space="preserve">💡 核心纪律：不追单源涨停、不抄首日急跌、不对深套股无条件摊薄；下一交易日先验证资金、广度和核心股承接。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📊 生成时间：2026-09-11 15:15（北京时间，Asia/Shanghai）</w:t>
      </w:r>
      <w:r>
        <w:t xml:space="preserve"> </w:t>
      </w:r>
      <w:r>
        <w:t xml:space="preserve">🔮 by：先知 v1.0.3 — 周先生出品</w:t>
      </w:r>
      <w:r>
        <w:t xml:space="preserve"> </w:t>
      </w:r>
      <w:r>
        <w:t xml:space="preserve">🔵 数据采集模型：local-python</w:t>
      </w:r>
      <w:r>
        <w:t xml:space="preserve"> </w:t>
      </w:r>
      <w:r>
        <w:t xml:space="preserve">🔴 分析+写稿模型：hermes</w:t>
      </w:r>
      <w:r>
        <w:t xml:space="preserve"> </w:t>
      </w:r>
      <w:r>
        <w:t xml:space="preserve">📄 文档生成：pandoc (markdown → docx)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2026-09-11T07:21:56Z</dcterms:created>
  <dcterms:modified xsi:type="dcterms:W3CDTF">2026-09-11T07:21:56Z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