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盘前简报-2026-09-10周四"/>
      <w:r>
        <w:t xml:space="preserve">🌅 盘前简报 | 2026-09-10（周四）</w:t>
      </w:r>
      <w:bookmarkEnd w:id="20"/>
    </w:p>
    <w:p>
      <w:pPr>
        <w:pStyle w:val="Heading2"/>
      </w:pPr>
      <w:bookmarkStart w:id="21" w:name="数据质量说明"/>
      <w:r>
        <w:t xml:space="preserve">⚠️ 数据质量说明</w:t>
      </w:r>
      <w:bookmarkEnd w:id="21"/>
    </w:p>
    <w:p>
      <w:pPr>
        <w:numPr>
          <w:ilvl w:val="0"/>
          <w:numId w:val="1001"/>
        </w:numPr>
        <w:pStyle w:val="Compact"/>
      </w:pPr>
      <w:r>
        <w:t xml:space="preserve">📊 本轮关键源覆盖 3/7（42.86%）：指数、涨跌家数、全市场成交额可用；资金流、板块表现、活跃个股、涨跌停明细缺失。</w:t>
      </w:r>
    </w:p>
    <w:p>
      <w:pPr>
        <w:numPr>
          <w:ilvl w:val="0"/>
          <w:numId w:val="1001"/>
        </w:numPr>
        <w:pStyle w:val="Compact"/>
      </w:pPr>
      <w:r>
        <w:t xml:space="preserve">✅ 指数由新浪主源、东方财富和腾讯交叉验证，五项指数均一致。</w:t>
      </w:r>
    </w:p>
    <w:p>
      <w:pPr>
        <w:numPr>
          <w:ilvl w:val="0"/>
          <w:numId w:val="1001"/>
        </w:numPr>
        <w:pStyle w:val="Compact"/>
      </w:pPr>
      <w:r>
        <w:t xml:space="preserve">⚠️ 涨跌家数与全市场成交额均为同花顺单一来源；可用但未获第二来源交叉验证。</w:t>
      </w:r>
    </w:p>
    <w:p>
      <w:pPr>
        <w:numPr>
          <w:ilvl w:val="0"/>
          <w:numId w:val="1001"/>
        </w:numPr>
        <w:pStyle w:val="Compact"/>
      </w:pPr>
      <w:r>
        <w:t xml:space="preserve">🚫 东方财富资金流、板块、活跃股、个股交叉行情接口返回 HTTP 502；公告接口返回 HTTP 567。因此资金流入/流出 TOP10、板块榜单、公告清单均只能标记</w:t>
      </w:r>
      <w:r>
        <w:t xml:space="preserve">“</w:t>
      </w:r>
      <w:r>
        <w:t xml:space="preserve">未核验</w:t>
      </w:r>
      <w:r>
        <w:t xml:space="preserve">”</w:t>
      </w:r>
      <w:r>
        <w:t xml:space="preserve">，不能补写。</w:t>
      </w:r>
    </w:p>
    <w:p>
      <w:pPr>
        <w:numPr>
          <w:ilvl w:val="0"/>
          <w:numId w:val="1001"/>
        </w:numPr>
        <w:pStyle w:val="Compact"/>
      </w:pPr>
      <w:r>
        <w:t xml:space="preserve">💡 华泰数据仅作为补充来源；其中行情、选股和文字分析未获得新浪/东方财富/腾讯的个股交叉验证，不作为单独的强结论依据。</w:t>
      </w:r>
    </w:p>
    <w:p>
      <w:r>
        <w:pict>
          <v:rect style="width:0;height:1.5pt" o:hralign="center" o:hrstd="t" o:hr="t"/>
        </w:pict>
      </w:r>
    </w:p>
    <w:p>
      <w:pPr>
        <w:pStyle w:val="Heading2"/>
      </w:pPr>
      <w:bookmarkStart w:id="22" w:name="隔夜全球市场"/>
      <w:r>
        <w:t xml:space="preserve">🌐 隔夜全球市场</w:t>
      </w:r>
      <w:bookmarkEnd w:id="22"/>
    </w:p>
    <w:p>
      <w:pPr>
        <w:numPr>
          <w:ilvl w:val="0"/>
          <w:numId w:val="1002"/>
        </w:numPr>
        <w:pStyle w:val="Compact"/>
      </w:pPr>
      <w:r>
        <w:t xml:space="preserve">📉 美股：华泰盘前文本显示三大指数全线回落，但采集 JSON 未包含新浪美股指数结构化数值，具体点位和涨跌幅未核验。</w:t>
      </w:r>
    </w:p>
    <w:p>
      <w:pPr>
        <w:numPr>
          <w:ilvl w:val="0"/>
          <w:numId w:val="1002"/>
        </w:numPr>
        <w:pStyle w:val="Compact"/>
      </w:pPr>
      <w:r>
        <w:t xml:space="preserve">📉 中概股：华泰文本显示中概金龙指数走弱，但缺少结构化行情，具体幅度未核验。</w:t>
      </w:r>
    </w:p>
    <w:p>
      <w:pPr>
        <w:numPr>
          <w:ilvl w:val="0"/>
          <w:numId w:val="1002"/>
        </w:numPr>
        <w:pStyle w:val="Compact"/>
      </w:pPr>
      <w:r>
        <w:t xml:space="preserve">📉 欧洲股市：采集 JSON 无欧洲主要指数结构化收盘数据，本轮未核验。</w:t>
      </w:r>
    </w:p>
    <w:p>
      <w:pPr>
        <w:numPr>
          <w:ilvl w:val="0"/>
          <w:numId w:val="1002"/>
        </w:numPr>
        <w:pStyle w:val="Compact"/>
      </w:pPr>
      <w:r>
        <w:t xml:space="preserve">🟢 富时中国 A50 期指报 14607.45，跌 57.55 点、跌幅 0.39%，A股开盘风险偏好略受压制。</w:t>
      </w:r>
    </w:p>
    <w:p>
      <w:pPr>
        <w:numPr>
          <w:ilvl w:val="0"/>
          <w:numId w:val="1002"/>
        </w:numPr>
        <w:pStyle w:val="Compact"/>
      </w:pPr>
      <w:r>
        <w:t xml:space="preserve">🟢 恒生指数上一交易日收报 25317.182，跌 42.22 点、跌幅 0.17%；今日港股尚未开盘，不写</w:t>
      </w:r>
      <w:r>
        <w:t xml:space="preserve">“</w:t>
      </w:r>
      <w:r>
        <w:t xml:space="preserve">港股早盘</w:t>
      </w:r>
      <w:r>
        <w:t xml:space="preserve">”</w:t>
      </w:r>
      <w:r>
        <w:t xml:space="preserve">实况。</w:t>
      </w:r>
    </w:p>
    <w:p>
      <w:pPr>
        <w:numPr>
          <w:ilvl w:val="0"/>
          <w:numId w:val="1002"/>
        </w:numPr>
        <w:pStyle w:val="Compact"/>
      </w:pPr>
      <w:r>
        <w:t xml:space="preserve">💱 美元离岸人民币报 6.7057，变动 -0.0007、跌幅 0.01%，汇率端整体平稳。</w:t>
      </w:r>
    </w:p>
    <w:p>
      <w:pPr>
        <w:numPr>
          <w:ilvl w:val="0"/>
          <w:numId w:val="1002"/>
        </w:numPr>
        <w:pStyle w:val="Compact"/>
      </w:pPr>
      <w:r>
        <w:t xml:space="preserve">📉 COMEX 黄金报 4436.236，跌 24.464、跌幅 0.55%；📈 WTI 原油报 96.685，涨 0.635、涨幅 0.66%；📈 伦铜报 14773.6，涨 6.1、涨幅 0.04%。</w:t>
      </w:r>
    </w:p>
    <w:p>
      <w:pPr>
        <w:numPr>
          <w:ilvl w:val="0"/>
          <w:numId w:val="1002"/>
        </w:numPr>
        <w:pStyle w:val="Compact"/>
      </w:pPr>
      <w:r>
        <w:t xml:space="preserve">⚠️ 组合信号：A50偏弱、原油走强、黄金回落，意味着开盘更可能呈现防御与资源线占优、成长内部继续分化。</w:t>
      </w:r>
    </w:p>
    <w:p>
      <w:r>
        <w:pict>
          <v:rect style="width:0;height:1.5pt" o:hralign="center" o:hrstd="t" o:hr="t"/>
        </w:pict>
      </w:r>
    </w:p>
    <w:p>
      <w:pPr>
        <w:pStyle w:val="Heading2"/>
      </w:pPr>
      <w:bookmarkStart w:id="23" w:name="新闻联播政策面"/>
      <w:r>
        <w:t xml:space="preserve">📺 新闻联播政策面</w:t>
      </w:r>
      <w:bookmarkEnd w:id="23"/>
    </w:p>
    <w:p>
      <w:pPr>
        <w:pStyle w:val="Heading3"/>
      </w:pPr>
      <w:bookmarkStart w:id="24" w:name="总体分析"/>
      <w:r>
        <w:t xml:space="preserve">📌 总体分析</w:t>
      </w:r>
      <w:bookmarkEnd w:id="24"/>
    </w:p>
    <w:p>
      <w:pPr>
        <w:numPr>
          <w:ilvl w:val="0"/>
          <w:numId w:val="1003"/>
        </w:numPr>
        <w:pStyle w:val="Compact"/>
      </w:pPr>
      <w:r>
        <w:t xml:space="preserve">🔴 9月9日《新闻联播》共采集 16 条，16 条正文全部成功，来源为央视网，采集时间为 2026-09-10 08:30:05+08:00。</w:t>
      </w:r>
    </w:p>
    <w:p>
      <w:pPr>
        <w:numPr>
          <w:ilvl w:val="0"/>
          <w:numId w:val="1003"/>
        </w:numPr>
        <w:pStyle w:val="Compact"/>
      </w:pPr>
      <w:r>
        <w:t xml:space="preserve">📈 最明确的产业信号来自服务贸易、人工智能数智赋能、数字基础设施，以及数字孪生、具身智能、智能体、低空物流、微电网等新职业；政策力度属于</w:t>
      </w:r>
      <w:r>
        <w:t xml:space="preserve">“</w:t>
      </w:r>
      <w:r>
        <w:t xml:space="preserve">方向性强化+产业应用扩围</w:t>
      </w:r>
      <w:r>
        <w:t xml:space="preserve">”</w:t>
      </w:r>
      <w:r>
        <w:t xml:space="preserve">，需用资金和成交确认。</w:t>
      </w:r>
    </w:p>
    <w:p>
      <w:pPr>
        <w:numPr>
          <w:ilvl w:val="0"/>
          <w:numId w:val="1003"/>
        </w:numPr>
        <w:pStyle w:val="Compact"/>
      </w:pPr>
      <w:r>
        <w:t xml:space="preserve">📈 扩内需与民生财政继续落地，汽车、家装分期贴息以及养老、托育、医疗支出，对汽车消费、家居、养老服务和医疗服务偏利好。</w:t>
      </w:r>
    </w:p>
    <w:p>
      <w:pPr>
        <w:numPr>
          <w:ilvl w:val="0"/>
          <w:numId w:val="1003"/>
        </w:numPr>
        <w:pStyle w:val="Compact"/>
      </w:pPr>
      <w:r>
        <w:t xml:space="preserve">📈 江西产业升级内容点名电子信息、有色金属、LED、低空经济，形成区域产业线索，但不是新增全国性量化政策，不能直接等同于板块主升。</w:t>
      </w:r>
    </w:p>
    <w:p>
      <w:pPr>
        <w:numPr>
          <w:ilvl w:val="0"/>
          <w:numId w:val="1003"/>
        </w:numPr>
        <w:pStyle w:val="Compact"/>
      </w:pPr>
      <w:r>
        <w:t xml:space="preserve">⚠️ 美伊冲突和霍尔木兹海峡风险显著抬升，油气、油运可能受益；航空、化工中下游和高能耗制造面临成本压力。</w:t>
      </w:r>
    </w:p>
    <w:p>
      <w:pPr>
        <w:numPr>
          <w:ilvl w:val="0"/>
          <w:numId w:val="1003"/>
        </w:numPr>
        <w:pStyle w:val="Compact"/>
      </w:pPr>
      <w:r>
        <w:t xml:space="preserve">⚠️ 8月 CPI 同比上涨 0.8%、核心 CPI 同比上涨 1.0%、PPI 同比上涨 3.8%，价格环境改善有利于顺周期盈利预期，但也要防范能源价格继续上涨带来的输入性通胀。</w:t>
      </w:r>
    </w:p>
    <w:p>
      <w:pPr>
        <w:pStyle w:val="Heading3"/>
      </w:pPr>
      <w:bookmarkStart w:id="25" w:name="逐条新闻解读"/>
      <w:r>
        <w:t xml:space="preserve">📰 逐条新闻解读</w:t>
      </w:r>
      <w:bookmarkEnd w:id="25"/>
    </w:p>
    <w:p>
      <w:pPr>
        <w:pStyle w:val="Heading4"/>
      </w:pPr>
      <w:bookmarkStart w:id="26" w:name="X63b34fd9426193d89a0c1d6f97b5d0eda44c8b0"/>
      <w:r>
        <w:t xml:space="preserve">在第四十二个教师节到来之际 习近平向全国广大教师和教育工作者致以节日祝贺和诚挚问候</w:t>
      </w:r>
      <w:bookmarkEnd w:id="26"/>
    </w:p>
    <w:p>
      <w:pPr>
        <w:numPr>
          <w:ilvl w:val="0"/>
          <w:numId w:val="1004"/>
        </w:numPr>
        <w:pStyle w:val="Compact"/>
      </w:pPr>
      <w:r>
        <w:t xml:space="preserve">A股影响：偏利好</w:t>
      </w:r>
    </w:p>
    <w:p>
      <w:pPr>
        <w:numPr>
          <w:ilvl w:val="0"/>
          <w:numId w:val="1004"/>
        </w:numPr>
        <w:pStyle w:val="Compact"/>
      </w:pPr>
      <w:r>
        <w:t xml:space="preserve">相关板块：职业教育、教育信息化、出版传媒</w:t>
      </w:r>
    </w:p>
    <w:p>
      <w:pPr>
        <w:numPr>
          <w:ilvl w:val="0"/>
          <w:numId w:val="1004"/>
        </w:numPr>
        <w:pStyle w:val="Compact"/>
      </w:pPr>
      <w:r>
        <w:t xml:space="preserve">核心解读：教育强国与教师队伍建设得到再次强调，属于长期政策方向，短期更利于有订单和业绩兑现的教育信息化环节。</w:t>
      </w:r>
    </w:p>
    <w:p>
      <w:pPr>
        <w:numPr>
          <w:ilvl w:val="0"/>
          <w:numId w:val="1004"/>
        </w:numPr>
        <w:pStyle w:val="Compact"/>
      </w:pPr>
      <w:r>
        <w:t xml:space="preserve">验证条件：教育信息化板块放量、核心公司出现订单催化；若仅情绪高开而无成交延续，则不追高。</w:t>
      </w:r>
    </w:p>
    <w:p>
      <w:pPr>
        <w:pStyle w:val="Heading4"/>
      </w:pPr>
      <w:bookmarkStart w:id="27" w:name="央视快评在全社会营造尊师重教良好氛围-汇聚起教育强国建设的强大合力"/>
      <w:r>
        <w:t xml:space="preserve">央视快评：在全社会营造尊师重教良好氛围 汇聚起教育强国建设的强大合力</w:t>
      </w:r>
      <w:bookmarkEnd w:id="27"/>
    </w:p>
    <w:p>
      <w:pPr>
        <w:numPr>
          <w:ilvl w:val="0"/>
          <w:numId w:val="1005"/>
        </w:numPr>
        <w:pStyle w:val="Compact"/>
      </w:pPr>
      <w:r>
        <w:t xml:space="preserve">A股影响：偏利好</w:t>
      </w:r>
    </w:p>
    <w:p>
      <w:pPr>
        <w:numPr>
          <w:ilvl w:val="0"/>
          <w:numId w:val="1005"/>
        </w:numPr>
        <w:pStyle w:val="Compact"/>
      </w:pPr>
      <w:r>
        <w:t xml:space="preserve">相关板块：教育服务、教育数字化</w:t>
      </w:r>
    </w:p>
    <w:p>
      <w:pPr>
        <w:numPr>
          <w:ilvl w:val="0"/>
          <w:numId w:val="1005"/>
        </w:numPr>
        <w:pStyle w:val="Compact"/>
      </w:pPr>
      <w:r>
        <w:t xml:space="preserve">核心解读：对教育强国主题形成舆论强化，但未披露新增财政金额或专项政策，力度为方向性表态。</w:t>
      </w:r>
    </w:p>
    <w:p>
      <w:pPr>
        <w:numPr>
          <w:ilvl w:val="0"/>
          <w:numId w:val="1005"/>
        </w:numPr>
        <w:pStyle w:val="Compact"/>
      </w:pPr>
      <w:r>
        <w:t xml:space="preserve">验证条件：后续专项政策、财政投入或招投标落地；缺乏增量政策时按主题观察处理。</w:t>
      </w:r>
    </w:p>
    <w:p>
      <w:pPr>
        <w:pStyle w:val="Heading4"/>
      </w:pPr>
      <w:bookmarkStart w:id="28" w:name="习近平就朝鲜国庆78周年向朝鲜最高领导人致贺电"/>
      <w:r>
        <w:t xml:space="preserve">习近平就朝鲜国庆78周年向朝鲜最高领导人致贺电</w:t>
      </w:r>
      <w:bookmarkEnd w:id="28"/>
    </w:p>
    <w:p>
      <w:pPr>
        <w:numPr>
          <w:ilvl w:val="0"/>
          <w:numId w:val="1006"/>
        </w:numPr>
        <w:pStyle w:val="Compact"/>
      </w:pPr>
      <w:r>
        <w:t xml:space="preserve">A股影响：中性</w:t>
      </w:r>
    </w:p>
    <w:p>
      <w:pPr>
        <w:numPr>
          <w:ilvl w:val="0"/>
          <w:numId w:val="1006"/>
        </w:numPr>
        <w:pStyle w:val="Compact"/>
      </w:pPr>
      <w:r>
        <w:t xml:space="preserve">相关板块：无直接映射</w:t>
      </w:r>
    </w:p>
    <w:p>
      <w:pPr>
        <w:numPr>
          <w:ilvl w:val="0"/>
          <w:numId w:val="1006"/>
        </w:numPr>
        <w:pStyle w:val="Compact"/>
      </w:pPr>
      <w:r>
        <w:t xml:space="preserve">核心解读：主要体现双边关系与地区稳定取向，对A股缺少直接盈利传导。</w:t>
      </w:r>
    </w:p>
    <w:p>
      <w:pPr>
        <w:numPr>
          <w:ilvl w:val="0"/>
          <w:numId w:val="1006"/>
        </w:numPr>
        <w:pStyle w:val="Compact"/>
      </w:pPr>
      <w:r>
        <w:t xml:space="preserve">验证条件：仅在出现跨境贸易、基建合作等可量化项目时再评估相关板块。</w:t>
      </w:r>
    </w:p>
    <w:p>
      <w:pPr>
        <w:pStyle w:val="Heading4"/>
      </w:pPr>
      <w:bookmarkStart w:id="29" w:name="习近平同英国首相通电话"/>
      <w:r>
        <w:t xml:space="preserve">习近平同英国首相通电话</w:t>
      </w:r>
      <w:bookmarkEnd w:id="29"/>
    </w:p>
    <w:p>
      <w:pPr>
        <w:numPr>
          <w:ilvl w:val="0"/>
          <w:numId w:val="1007"/>
        </w:numPr>
        <w:pStyle w:val="Compact"/>
      </w:pPr>
      <w:r>
        <w:t xml:space="preserve">A股影响：偏利好</w:t>
      </w:r>
    </w:p>
    <w:p>
      <w:pPr>
        <w:numPr>
          <w:ilvl w:val="0"/>
          <w:numId w:val="1007"/>
        </w:numPr>
        <w:pStyle w:val="Compact"/>
      </w:pPr>
      <w:r>
        <w:t xml:space="preserve">相关板块：金融开放、医疗服务、教育服务、科技合作、跨境贸易</w:t>
      </w:r>
    </w:p>
    <w:p>
      <w:pPr>
        <w:numPr>
          <w:ilvl w:val="0"/>
          <w:numId w:val="1007"/>
        </w:numPr>
        <w:pStyle w:val="Compact"/>
      </w:pPr>
      <w:r>
        <w:t xml:space="preserve">核心解读：</w:t>
      </w:r>
      <w:r>
        <w:t xml:space="preserve">“</w:t>
      </w:r>
      <w:r>
        <w:t xml:space="preserve">十五五</w:t>
      </w:r>
      <w:r>
        <w:t xml:space="preserve">”</w:t>
      </w:r>
      <w:r>
        <w:t xml:space="preserve">时期进一步扩大教育、医疗、金融对外开放的表述，为服务业开放和中英合作提供中期线索。</w:t>
      </w:r>
    </w:p>
    <w:p>
      <w:pPr>
        <w:numPr>
          <w:ilvl w:val="0"/>
          <w:numId w:val="1007"/>
        </w:numPr>
        <w:pStyle w:val="Compact"/>
      </w:pPr>
      <w:r>
        <w:t xml:space="preserve">验证条件：观察后续准入清单、合作项目及金融开放细则；若仅停留在外交表态，短线映射有限。</w:t>
      </w:r>
    </w:p>
    <w:p>
      <w:pPr>
        <w:pStyle w:val="Heading4"/>
      </w:pPr>
      <w:bookmarkStart w:id="30" w:name="丁薛祥出席2026年全球服务贸易峰会并会见与会外国政要"/>
      <w:r>
        <w:t xml:space="preserve">丁薛祥出席2026年全球服务贸易峰会并会见与会外国政要</w:t>
      </w:r>
      <w:bookmarkEnd w:id="30"/>
    </w:p>
    <w:p>
      <w:pPr>
        <w:numPr>
          <w:ilvl w:val="0"/>
          <w:numId w:val="1008"/>
        </w:numPr>
        <w:pStyle w:val="Compact"/>
      </w:pPr>
      <w:r>
        <w:t xml:space="preserve">A股影响：利好</w:t>
      </w:r>
    </w:p>
    <w:p>
      <w:pPr>
        <w:numPr>
          <w:ilvl w:val="0"/>
          <w:numId w:val="1008"/>
        </w:numPr>
        <w:pStyle w:val="Compact"/>
      </w:pPr>
      <w:r>
        <w:t xml:space="preserve">相关板块：服务贸易、人工智能应用、数字基础设施、跨境支付</w:t>
      </w:r>
    </w:p>
    <w:p>
      <w:pPr>
        <w:numPr>
          <w:ilvl w:val="0"/>
          <w:numId w:val="1008"/>
        </w:numPr>
        <w:pStyle w:val="Compact"/>
      </w:pPr>
      <w:r>
        <w:t xml:space="preserve">核心解读：明确提出提升服务贸易自由化便利化、加强人工智能等数智技术与服务共享，产业传导路径较清晰。</w:t>
      </w:r>
    </w:p>
    <w:p>
      <w:pPr>
        <w:numPr>
          <w:ilvl w:val="0"/>
          <w:numId w:val="1008"/>
        </w:numPr>
        <w:pStyle w:val="Compact"/>
      </w:pPr>
      <w:r>
        <w:t xml:space="preserve">验证条件：服务贸易与AI应用板块同步放量、核心标的资金净流入；若资金榜单继续缺失或板块冲高回落，只观察不追涨。</w:t>
      </w:r>
    </w:p>
    <w:p>
      <w:pPr>
        <w:pStyle w:val="Heading4"/>
      </w:pPr>
      <w:bookmarkStart w:id="31" w:name="赓续长征精神-奋进复兴征程江西从长征出发地到发展新高地"/>
      <w:r>
        <w:t xml:space="preserve">【赓续长征精神 奋进复兴征程】江西：从长征出发地到发展新高地</w:t>
      </w:r>
      <w:bookmarkEnd w:id="31"/>
    </w:p>
    <w:p>
      <w:pPr>
        <w:numPr>
          <w:ilvl w:val="0"/>
          <w:numId w:val="1009"/>
        </w:numPr>
        <w:pStyle w:val="Compact"/>
      </w:pPr>
      <w:r>
        <w:t xml:space="preserve">A股影响：偏利好</w:t>
      </w:r>
    </w:p>
    <w:p>
      <w:pPr>
        <w:numPr>
          <w:ilvl w:val="0"/>
          <w:numId w:val="1009"/>
        </w:numPr>
        <w:pStyle w:val="Compact"/>
      </w:pPr>
      <w:r>
        <w:t xml:space="preserve">相关板块：LED、电子信息、有色金属、低空经济、铁路基建、红色文旅</w:t>
      </w:r>
    </w:p>
    <w:p>
      <w:pPr>
        <w:numPr>
          <w:ilvl w:val="0"/>
          <w:numId w:val="1009"/>
        </w:numPr>
        <w:pStyle w:val="Compact"/>
      </w:pPr>
      <w:r>
        <w:t xml:space="preserve">核心解读：报道点名江西两个万亿级产业、完整LED产业链和低空经济，利于区域产业关注度，但并非新增全国性刺激政策。</w:t>
      </w:r>
    </w:p>
    <w:p>
      <w:pPr>
        <w:numPr>
          <w:ilvl w:val="0"/>
          <w:numId w:val="1009"/>
        </w:numPr>
        <w:pStyle w:val="Compact"/>
      </w:pPr>
      <w:r>
        <w:t xml:space="preserve">验证条件：江西本地产业链出现订单或资金共振；无公告和成交支持时不做地域概念追涨。</w:t>
      </w:r>
    </w:p>
    <w:p>
      <w:pPr>
        <w:pStyle w:val="Heading4"/>
      </w:pPr>
      <w:bookmarkStart w:id="32" w:name="十五五开好局起好步发展社会主义民主凝聚中国式现代化合力"/>
      <w:r>
        <w:t xml:space="preserve">【</w:t>
      </w:r>
      <w:r>
        <w:t xml:space="preserve">“</w:t>
      </w:r>
      <w:r>
        <w:t xml:space="preserve">十五五</w:t>
      </w:r>
      <w:r>
        <w:t xml:space="preserve">”</w:t>
      </w:r>
      <w:r>
        <w:t xml:space="preserve">开好局起好步】发展社会主义民主凝聚中国式现代化合力</w:t>
      </w:r>
      <w:bookmarkEnd w:id="32"/>
    </w:p>
    <w:p>
      <w:pPr>
        <w:numPr>
          <w:ilvl w:val="0"/>
          <w:numId w:val="1010"/>
        </w:numPr>
        <w:pStyle w:val="Compact"/>
      </w:pPr>
      <w:r>
        <w:t xml:space="preserve">A股影响：偏利好</w:t>
      </w:r>
    </w:p>
    <w:p>
      <w:pPr>
        <w:numPr>
          <w:ilvl w:val="0"/>
          <w:numId w:val="1010"/>
        </w:numPr>
        <w:pStyle w:val="Compact"/>
      </w:pPr>
      <w:r>
        <w:t xml:space="preserve">相关板块：民营经济、基层治理信息化、医疗、养老、社会保障</w:t>
      </w:r>
    </w:p>
    <w:p>
      <w:pPr>
        <w:numPr>
          <w:ilvl w:val="0"/>
          <w:numId w:val="1010"/>
        </w:numPr>
        <w:pStyle w:val="Compact"/>
      </w:pPr>
      <w:r>
        <w:t xml:space="preserve">核心解读：支持民营经济健康发展，并强调医疗、养老、社保等重点任务，偏长期制度与民生方向。</w:t>
      </w:r>
    </w:p>
    <w:p>
      <w:pPr>
        <w:numPr>
          <w:ilvl w:val="0"/>
          <w:numId w:val="1010"/>
        </w:numPr>
        <w:pStyle w:val="Compact"/>
      </w:pPr>
      <w:r>
        <w:t xml:space="preserve">验证条件：观察民营经济支持政策、财政资金和政府采购落地；缺少增量细则时影响中性偏长期。</w:t>
      </w:r>
    </w:p>
    <w:p>
      <w:pPr>
        <w:pStyle w:val="Heading4"/>
      </w:pPr>
      <w:bookmarkStart w:id="33" w:name="月份我国cpi同比上涨0.8"/>
      <w:r>
        <w:t xml:space="preserve">8月份我国CPI同比上涨0.8%</w:t>
      </w:r>
      <w:bookmarkEnd w:id="33"/>
    </w:p>
    <w:p>
      <w:pPr>
        <w:numPr>
          <w:ilvl w:val="0"/>
          <w:numId w:val="1011"/>
        </w:numPr>
        <w:pStyle w:val="Compact"/>
      </w:pPr>
      <w:r>
        <w:t xml:space="preserve">A股影响：偏利好</w:t>
      </w:r>
    </w:p>
    <w:p>
      <w:pPr>
        <w:numPr>
          <w:ilvl w:val="0"/>
          <w:numId w:val="1011"/>
        </w:numPr>
        <w:pStyle w:val="Compact"/>
      </w:pPr>
      <w:r>
        <w:t xml:space="preserve">相关板块：消费、顺周期制造、电气机械、计算机通信</w:t>
      </w:r>
    </w:p>
    <w:p>
      <w:pPr>
        <w:numPr>
          <w:ilvl w:val="0"/>
          <w:numId w:val="1011"/>
        </w:numPr>
        <w:pStyle w:val="Compact"/>
      </w:pPr>
      <w:r>
        <w:t xml:space="preserve">核心解读：CPI同比上涨0.8%、核心CPI上涨1.0%、PPI上涨3.8%，反映价格环境改善；下游制造业价格改善对盈利预期有支撑。</w:t>
      </w:r>
    </w:p>
    <w:p>
      <w:pPr>
        <w:numPr>
          <w:ilvl w:val="0"/>
          <w:numId w:val="1011"/>
        </w:numPr>
        <w:pStyle w:val="Compact"/>
      </w:pPr>
      <w:r>
        <w:t xml:space="preserve">验证条件：消费数据与企业利润继续改善；若能源上涨挤压中下游利润，则顺周期交易需降温。</w:t>
      </w:r>
    </w:p>
    <w:p>
      <w:pPr>
        <w:pStyle w:val="Heading4"/>
      </w:pPr>
      <w:bookmarkStart w:id="34" w:name="我国不断加大民生保障力度-持续增进民生福祉"/>
      <w:r>
        <w:t xml:space="preserve">我国不断加大民生保障力度 持续增进民生福祉</w:t>
      </w:r>
      <w:bookmarkEnd w:id="34"/>
    </w:p>
    <w:p>
      <w:pPr>
        <w:numPr>
          <w:ilvl w:val="0"/>
          <w:numId w:val="1012"/>
        </w:numPr>
        <w:pStyle w:val="Compact"/>
      </w:pPr>
      <w:r>
        <w:t xml:space="preserve">A股影响：利好</w:t>
      </w:r>
    </w:p>
    <w:p>
      <w:pPr>
        <w:numPr>
          <w:ilvl w:val="0"/>
          <w:numId w:val="1012"/>
        </w:numPr>
        <w:pStyle w:val="Compact"/>
      </w:pPr>
      <w:r>
        <w:t xml:space="preserve">相关板块：汽车消费、家装家居、养老服务、长期护理、医疗服务、托育</w:t>
      </w:r>
    </w:p>
    <w:p>
      <w:pPr>
        <w:numPr>
          <w:ilvl w:val="0"/>
          <w:numId w:val="1012"/>
        </w:numPr>
        <w:pStyle w:val="Compact"/>
      </w:pPr>
      <w:r>
        <w:t xml:space="preserve">核心解读：汽车和家装分期贴息扩围、贴息上限由每年3000元提高至5000元，叠加养老与育儿财政投入，属于可量化的扩内需支持。</w:t>
      </w:r>
    </w:p>
    <w:p>
      <w:pPr>
        <w:numPr>
          <w:ilvl w:val="0"/>
          <w:numId w:val="1012"/>
        </w:numPr>
        <w:pStyle w:val="Compact"/>
      </w:pPr>
      <w:r>
        <w:t xml:space="preserve">验证条件：观察汽车、家居销量与养老服务订单；若政策受益板块无量上涨或业绩兑现慢，避免追高。</w:t>
      </w:r>
    </w:p>
    <w:p>
      <w:pPr>
        <w:pStyle w:val="Heading4"/>
      </w:pPr>
      <w:bookmarkStart w:id="35" w:name="十四届全国人大社会建设委员会原副主任委员孙绍骋严重违纪违法被开除党籍和公职"/>
      <w:r>
        <w:t xml:space="preserve">十四届全国人大社会建设委员会原副主任委员孙绍骋严重违纪违法被开除党籍和公职</w:t>
      </w:r>
      <w:bookmarkEnd w:id="35"/>
    </w:p>
    <w:p>
      <w:pPr>
        <w:numPr>
          <w:ilvl w:val="0"/>
          <w:numId w:val="1013"/>
        </w:numPr>
        <w:pStyle w:val="Compact"/>
      </w:pPr>
      <w:r>
        <w:t xml:space="preserve">A股影响：中性</w:t>
      </w:r>
    </w:p>
    <w:p>
      <w:pPr>
        <w:numPr>
          <w:ilvl w:val="0"/>
          <w:numId w:val="1013"/>
        </w:numPr>
        <w:pStyle w:val="Compact"/>
      </w:pPr>
      <w:r>
        <w:t xml:space="preserve">相关板块：无直接映射</w:t>
      </w:r>
    </w:p>
    <w:p>
      <w:pPr>
        <w:numPr>
          <w:ilvl w:val="0"/>
          <w:numId w:val="1013"/>
        </w:numPr>
        <w:pStyle w:val="Compact"/>
      </w:pPr>
      <w:r>
        <w:t xml:space="preserve">核心解读：属于纪律审查信息，对上市公司盈利和行业供需没有直接传导。</w:t>
      </w:r>
    </w:p>
    <w:p>
      <w:pPr>
        <w:numPr>
          <w:ilvl w:val="0"/>
          <w:numId w:val="1013"/>
        </w:numPr>
        <w:pStyle w:val="Compact"/>
      </w:pPr>
      <w:r>
        <w:t xml:space="preserve">验证条件：若后续牵涉具体上市公司或工程项目，再评估个股风险。</w:t>
      </w:r>
    </w:p>
    <w:p>
      <w:pPr>
        <w:pStyle w:val="Heading4"/>
      </w:pPr>
      <w:bookmarkStart w:id="36" w:name="我国发布第八批新职业-包括11个新职业23个新工种"/>
      <w:r>
        <w:t xml:space="preserve">我国发布第八批新职业 包括11个新职业23个新工种</w:t>
      </w:r>
      <w:bookmarkEnd w:id="36"/>
    </w:p>
    <w:p>
      <w:pPr>
        <w:numPr>
          <w:ilvl w:val="0"/>
          <w:numId w:val="1014"/>
        </w:numPr>
        <w:pStyle w:val="Compact"/>
      </w:pPr>
      <w:r>
        <w:t xml:space="preserve">A股影响：利好</w:t>
      </w:r>
    </w:p>
    <w:p>
      <w:pPr>
        <w:numPr>
          <w:ilvl w:val="0"/>
          <w:numId w:val="1014"/>
        </w:numPr>
        <w:pStyle w:val="Compact"/>
      </w:pPr>
      <w:r>
        <w:t xml:space="preserve">相关板块：数字孪生、具身智能、AI智能体、低空物流、微电网、适老化改造</w:t>
      </w:r>
    </w:p>
    <w:p>
      <w:pPr>
        <w:numPr>
          <w:ilvl w:val="0"/>
          <w:numId w:val="1014"/>
        </w:numPr>
        <w:pStyle w:val="Compact"/>
      </w:pPr>
      <w:r>
        <w:t xml:space="preserve">核心解读：11个新职业和23个新工种中，数字职业占45%、绿色职业占27%，表明产业应用正在向人才标准和就业体系延伸。</w:t>
      </w:r>
    </w:p>
    <w:p>
      <w:pPr>
        <w:numPr>
          <w:ilvl w:val="0"/>
          <w:numId w:val="1014"/>
        </w:numPr>
        <w:pStyle w:val="Compact"/>
      </w:pPr>
      <w:r>
        <w:t xml:space="preserve">验证条件：相关职业标准、培训需求和企业订单落地；若只有概念炒作而无业绩支撑，冲高回落即失效。</w:t>
      </w:r>
    </w:p>
    <w:p>
      <w:pPr>
        <w:pStyle w:val="Heading4"/>
      </w:pPr>
      <w:bookmarkStart w:id="37" w:name="董建华先生逝世"/>
      <w:r>
        <w:t xml:space="preserve">董建华先生逝世</w:t>
      </w:r>
      <w:bookmarkEnd w:id="37"/>
    </w:p>
    <w:p>
      <w:pPr>
        <w:numPr>
          <w:ilvl w:val="0"/>
          <w:numId w:val="1015"/>
        </w:numPr>
        <w:pStyle w:val="Compact"/>
      </w:pPr>
      <w:r>
        <w:t xml:space="preserve">A股影响：中性</w:t>
      </w:r>
    </w:p>
    <w:p>
      <w:pPr>
        <w:numPr>
          <w:ilvl w:val="0"/>
          <w:numId w:val="1015"/>
        </w:numPr>
        <w:pStyle w:val="Compact"/>
      </w:pPr>
      <w:r>
        <w:t xml:space="preserve">相关板块：无直接映射</w:t>
      </w:r>
    </w:p>
    <w:p>
      <w:pPr>
        <w:numPr>
          <w:ilvl w:val="0"/>
          <w:numId w:val="1015"/>
        </w:numPr>
        <w:pStyle w:val="Compact"/>
      </w:pPr>
      <w:r>
        <w:t xml:space="preserve">核心解读：重要人物逝世消息，不构成直接行业盈利变量。</w:t>
      </w:r>
    </w:p>
    <w:p>
      <w:pPr>
        <w:numPr>
          <w:ilvl w:val="0"/>
          <w:numId w:val="1015"/>
        </w:numPr>
        <w:pStyle w:val="Compact"/>
      </w:pPr>
      <w:r>
        <w:t xml:space="preserve">验证条件：无交易性验证要求，避免牵强映射。</w:t>
      </w:r>
    </w:p>
    <w:p>
      <w:pPr>
        <w:pStyle w:val="Heading4"/>
      </w:pPr>
      <w:bookmarkStart w:id="38" w:name="国内联播快讯"/>
      <w:r>
        <w:t xml:space="preserve">国内联播快讯</w:t>
      </w:r>
      <w:bookmarkEnd w:id="38"/>
    </w:p>
    <w:p>
      <w:pPr>
        <w:numPr>
          <w:ilvl w:val="0"/>
          <w:numId w:val="1016"/>
        </w:numPr>
        <w:pStyle w:val="Compact"/>
      </w:pPr>
      <w:r>
        <w:t xml:space="preserve">A股影响：偏利好</w:t>
      </w:r>
    </w:p>
    <w:p>
      <w:pPr>
        <w:numPr>
          <w:ilvl w:val="0"/>
          <w:numId w:val="1016"/>
        </w:numPr>
        <w:pStyle w:val="Compact"/>
      </w:pPr>
      <w:r>
        <w:t xml:space="preserve">相关板块：铁路客运、民营科技创新、农业消费、海洋油气、商业航天、中文教育</w:t>
      </w:r>
    </w:p>
    <w:p>
      <w:pPr>
        <w:numPr>
          <w:ilvl w:val="0"/>
          <w:numId w:val="1016"/>
        </w:numPr>
        <w:pStyle w:val="Compact"/>
      </w:pPr>
      <w:r>
        <w:t xml:space="preserve">核心解读：假期铁路运输、民企研发投入、丰收节消费、海上油气平台和天宫课堂均提供细分催化；其中油气平台投用对海工装备与油服传导更直接。</w:t>
      </w:r>
    </w:p>
    <w:p>
      <w:pPr>
        <w:numPr>
          <w:ilvl w:val="0"/>
          <w:numId w:val="1016"/>
        </w:numPr>
        <w:pStyle w:val="Compact"/>
      </w:pPr>
      <w:r>
        <w:t xml:space="preserve">验证条件：优先观察订单、客流、研发投入和板块成交；多个子主题分散，禁止把整组快讯视为单一主线。</w:t>
      </w:r>
    </w:p>
    <w:p>
      <w:pPr>
        <w:pStyle w:val="Heading4"/>
      </w:pPr>
      <w:bookmarkStart w:id="39" w:name="英法加宣布制裁以色列-谴责以破坏两国方案"/>
      <w:r>
        <w:t xml:space="preserve">英法加宣布制裁以色列 谴责以破坏</w:t>
      </w:r>
      <w:r>
        <w:t xml:space="preserve">“</w:t>
      </w:r>
      <w:r>
        <w:t xml:space="preserve">两国方案</w:t>
      </w:r>
      <w:r>
        <w:t xml:space="preserve">”</w:t>
      </w:r>
      <w:bookmarkEnd w:id="39"/>
    </w:p>
    <w:p>
      <w:pPr>
        <w:numPr>
          <w:ilvl w:val="0"/>
          <w:numId w:val="1017"/>
        </w:numPr>
        <w:pStyle w:val="Compact"/>
      </w:pPr>
      <w:r>
        <w:t xml:space="preserve">A股影响：偏利空</w:t>
      </w:r>
    </w:p>
    <w:p>
      <w:pPr>
        <w:numPr>
          <w:ilvl w:val="0"/>
          <w:numId w:val="1017"/>
        </w:numPr>
        <w:pStyle w:val="Compact"/>
      </w:pPr>
      <w:r>
        <w:t xml:space="preserve">相关板块：国际贸易、航运；黄金和能源为风险对冲观察</w:t>
      </w:r>
    </w:p>
    <w:p>
      <w:pPr>
        <w:numPr>
          <w:ilvl w:val="0"/>
          <w:numId w:val="1017"/>
        </w:numPr>
        <w:pStyle w:val="Compact"/>
      </w:pPr>
      <w:r>
        <w:t xml:space="preserve">核心解读：制裁与反制增加国际贸易不确定性，可能提高区域风险溢价，但对A股的直接影响仍取决于冲突是否扩散。</w:t>
      </w:r>
    </w:p>
    <w:p>
      <w:pPr>
        <w:numPr>
          <w:ilvl w:val="0"/>
          <w:numId w:val="1017"/>
        </w:numPr>
        <w:pStyle w:val="Compact"/>
      </w:pPr>
      <w:r>
        <w:t xml:space="preserve">验证条件：观察油价、航运价格和避险资产是否同步走强；若局势缓和，事件交易迅速失效。</w:t>
      </w:r>
    </w:p>
    <w:p>
      <w:pPr>
        <w:pStyle w:val="Heading4"/>
      </w:pPr>
      <w:bookmarkStart w:id="40" w:name="伊朗称打击美军舰及美军基地-美称摧毁伊朗油轮"/>
      <w:r>
        <w:t xml:space="preserve">伊朗称打击美军舰及美军基地 美称摧毁伊朗油轮</w:t>
      </w:r>
      <w:bookmarkEnd w:id="40"/>
    </w:p>
    <w:p>
      <w:pPr>
        <w:numPr>
          <w:ilvl w:val="0"/>
          <w:numId w:val="1018"/>
        </w:numPr>
        <w:pStyle w:val="Compact"/>
      </w:pPr>
      <w:r>
        <w:t xml:space="preserve">A股影响：偏利空</w:t>
      </w:r>
    </w:p>
    <w:p>
      <w:pPr>
        <w:numPr>
          <w:ilvl w:val="0"/>
          <w:numId w:val="1018"/>
        </w:numPr>
        <w:pStyle w:val="Compact"/>
      </w:pPr>
      <w:r>
        <w:t xml:space="preserve">相关板块：油气、油运偏受益；航空、物流、化工中下游偏承压</w:t>
      </w:r>
    </w:p>
    <w:p>
      <w:pPr>
        <w:numPr>
          <w:ilvl w:val="0"/>
          <w:numId w:val="1018"/>
        </w:numPr>
        <w:pStyle w:val="Compact"/>
      </w:pPr>
      <w:r>
        <w:t xml:space="preserve">核心解读：美伊军事冲突直接影响油轮与霍尔木兹海峡安全，WTI已报96.685、上涨0.66%，能源供应风险是今日最强外部变量。</w:t>
      </w:r>
    </w:p>
    <w:p>
      <w:pPr>
        <w:numPr>
          <w:ilvl w:val="0"/>
          <w:numId w:val="1018"/>
        </w:numPr>
        <w:pStyle w:val="Compact"/>
      </w:pPr>
      <w:r>
        <w:t xml:space="preserve">验证条件：油价继续走强且油气/油运板块资金与成交同步放大；若油价回落或冲突降级，资源线追涨逻辑失效。</w:t>
      </w:r>
    </w:p>
    <w:p>
      <w:pPr>
        <w:pStyle w:val="Heading4"/>
      </w:pPr>
      <w:bookmarkStart w:id="41" w:name="国际联播快讯"/>
      <w:r>
        <w:t xml:space="preserve">国际联播快讯</w:t>
      </w:r>
      <w:bookmarkEnd w:id="41"/>
    </w:p>
    <w:p>
      <w:pPr>
        <w:numPr>
          <w:ilvl w:val="0"/>
          <w:numId w:val="1019"/>
        </w:numPr>
        <w:pStyle w:val="Compact"/>
      </w:pPr>
      <w:r>
        <w:t xml:space="preserve">A股影响：中性偏利空</w:t>
      </w:r>
    </w:p>
    <w:p>
      <w:pPr>
        <w:numPr>
          <w:ilvl w:val="0"/>
          <w:numId w:val="1019"/>
        </w:numPr>
        <w:pStyle w:val="Compact"/>
      </w:pPr>
      <w:r>
        <w:t xml:space="preserve">相关板块：出口链、跨境贸易、能源、军工、黄金</w:t>
      </w:r>
    </w:p>
    <w:p>
      <w:pPr>
        <w:numPr>
          <w:ilvl w:val="0"/>
          <w:numId w:val="1019"/>
        </w:numPr>
        <w:pStyle w:val="Compact"/>
      </w:pPr>
      <w:r>
        <w:t xml:space="preserve">核心解读：俄乌谈判意愿有助风险缓和，但美加贸易摩擦和俄匈外交冲突增加外部不确定性，影响相互抵消。</w:t>
      </w:r>
    </w:p>
    <w:p>
      <w:pPr>
        <w:numPr>
          <w:ilvl w:val="0"/>
          <w:numId w:val="1019"/>
        </w:numPr>
        <w:pStyle w:val="Compact"/>
      </w:pPr>
      <w:r>
        <w:t xml:space="preserve">验证条件：观察关税清单实施、俄乌谈判进展和全球风险资产表现；事件反复时控制出口链与高估值成长仓位。</w:t>
      </w:r>
    </w:p>
    <w:p>
      <w:r>
        <w:pict>
          <v:rect style="width:0;height:1.5pt" o:hralign="center" o:hrstd="t" o:hr="t"/>
        </w:pict>
      </w:r>
    </w:p>
    <w:p>
      <w:pPr>
        <w:pStyle w:val="Heading2"/>
      </w:pPr>
      <w:bookmarkStart w:id="42" w:name="今日重要公告"/>
      <w:r>
        <w:t xml:space="preserve">📋 今日重要公告</w:t>
      </w:r>
      <w:bookmarkEnd w:id="42"/>
    </w:p>
    <w:p>
      <w:pPr>
        <w:numPr>
          <w:ilvl w:val="0"/>
          <w:numId w:val="1020"/>
        </w:numPr>
        <w:pStyle w:val="Compact"/>
      </w:pPr>
      <w:r>
        <w:t xml:space="preserve">🚫 东方财富公告源返回 HTTP 567，增减持、解禁、业绩预告/快报、停复牌、重组和监管问询清单均未核验。</w:t>
      </w:r>
    </w:p>
    <w:p>
      <w:pPr>
        <w:numPr>
          <w:ilvl w:val="0"/>
          <w:numId w:val="1020"/>
        </w:numPr>
        <w:pStyle w:val="Compact"/>
      </w:pPr>
      <w:r>
        <w:t xml:space="preserve">⚠️ 今日不得据此认定</w:t>
      </w:r>
      <w:r>
        <w:t xml:space="preserve">“</w:t>
      </w:r>
      <w:r>
        <w:t xml:space="preserve">无重要公告</w:t>
      </w:r>
      <w:r>
        <w:t xml:space="preserve">”</w:t>
      </w:r>
      <w:r>
        <w:t xml:space="preserve">。持仓股与拟交易标的开盘前应再次核对交易所公告，未核对前不做公告驱动交易。</w:t>
      </w:r>
    </w:p>
    <w:p>
      <w:r>
        <w:pict>
          <v:rect style="width:0;height:1.5pt" o:hralign="center" o:hrstd="t" o:hr="t"/>
        </w:pict>
      </w:r>
    </w:p>
    <w:p>
      <w:pPr>
        <w:pStyle w:val="Heading2"/>
      </w:pPr>
      <w:bookmarkStart w:id="43" w:name="今日经济数据与事件"/>
      <w:r>
        <w:t xml:space="preserve">📅 今日经济数据与事件</w:t>
      </w:r>
      <w:bookmarkEnd w:id="43"/>
    </w:p>
    <w:p>
      <w:pPr>
        <w:numPr>
          <w:ilvl w:val="0"/>
          <w:numId w:val="1021"/>
        </w:numPr>
        <w:pStyle w:val="Compact"/>
      </w:pPr>
      <w:r>
        <w:t xml:space="preserve">📊 国内：昨晚已确认8月 CPI 同比上涨0.8%、核心 CPI 同比上涨1.0%、PPI同比上涨3.8%，今日重点观察价格改善能否带动消费与顺周期板块成交。</w:t>
      </w:r>
    </w:p>
    <w:p>
      <w:pPr>
        <w:numPr>
          <w:ilvl w:val="0"/>
          <w:numId w:val="1021"/>
        </w:numPr>
        <w:pStyle w:val="Compact"/>
      </w:pPr>
      <w:r>
        <w:t xml:space="preserve">🏦 华泰盘前文本提示今日15:00存在金融政策相关发布会线索，但未获得官方结构化日程交叉验证；只能作为</w:t>
      </w:r>
      <w:r>
        <w:t xml:space="preserve">“</w:t>
      </w:r>
      <w:r>
        <w:t xml:space="preserve">待核验事件</w:t>
      </w:r>
      <w:r>
        <w:t xml:space="preserve">”</w:t>
      </w:r>
      <w:r>
        <w:t xml:space="preserve">，不能据此提前重仓券商。</w:t>
      </w:r>
    </w:p>
    <w:p>
      <w:pPr>
        <w:numPr>
          <w:ilvl w:val="0"/>
          <w:numId w:val="1021"/>
        </w:numPr>
        <w:pStyle w:val="Compact"/>
      </w:pPr>
      <w:r>
        <w:t xml:space="preserve">🌍 海外：欧洲央行利率决议、美国PPI和初请失业金可能成为晚间波动源，但本轮未取得官方日历交叉验证，具体发布时间与预期值均标记未核验。</w:t>
      </w:r>
    </w:p>
    <w:p>
      <w:pPr>
        <w:numPr>
          <w:ilvl w:val="0"/>
          <w:numId w:val="1021"/>
        </w:numPr>
        <w:pStyle w:val="Compact"/>
      </w:pPr>
      <w:r>
        <w:t xml:space="preserve">💡 交易安排：涉及发布会或海外数据的方向，只做事件前小仓观察；待官方议程和数据落地后再判断持续性。</w:t>
      </w:r>
    </w:p>
    <w:p>
      <w:r>
        <w:pict>
          <v:rect style="width:0;height:1.5pt" o:hralign="center" o:hrstd="t" o:hr="t"/>
        </w:pict>
      </w:r>
    </w:p>
    <w:p>
      <w:pPr>
        <w:pStyle w:val="Heading2"/>
      </w:pPr>
      <w:bookmarkStart w:id="44" w:name="全球重要事件"/>
      <w:r>
        <w:t xml:space="preserve">🌍 全球重要事件</w:t>
      </w:r>
      <w:bookmarkEnd w:id="44"/>
    </w:p>
    <w:p>
      <w:pPr>
        <w:numPr>
          <w:ilvl w:val="0"/>
          <w:numId w:val="1022"/>
        </w:numPr>
        <w:pStyle w:val="Compact"/>
      </w:pPr>
      <w:r>
        <w:t xml:space="preserve">⚠️ 美伊冲突升级并涉及军舰、油轮和军事基地：利好油气、油服、油运的风险溢价，利空航空、物流和部分中下游制造。</w:t>
      </w:r>
    </w:p>
    <w:p>
      <w:pPr>
        <w:numPr>
          <w:ilvl w:val="0"/>
          <w:numId w:val="1022"/>
        </w:numPr>
        <w:pStyle w:val="Compact"/>
      </w:pPr>
      <w:r>
        <w:t xml:space="preserve">⚠️ 英法加等国对以色列定居点相关贸易实施或拟实施限制：增加中东贸易与航运不确定性。</w:t>
      </w:r>
    </w:p>
    <w:p>
      <w:pPr>
        <w:numPr>
          <w:ilvl w:val="0"/>
          <w:numId w:val="1022"/>
        </w:numPr>
        <w:pStyle w:val="Compact"/>
      </w:pPr>
      <w:r>
        <w:t xml:space="preserve">⚠️ 美国公布针对加拿大的新贸易措施：全球贸易摩擦升温，出口链估值可能承压。</w:t>
      </w:r>
    </w:p>
    <w:p>
      <w:pPr>
        <w:numPr>
          <w:ilvl w:val="0"/>
          <w:numId w:val="1022"/>
        </w:numPr>
        <w:pStyle w:val="Compact"/>
      </w:pPr>
      <w:r>
        <w:t xml:space="preserve">💡 俄美元首通话讨论解决乌克兰问题：若出现实质降温，可能压低部分能源与避险溢价，也会削弱油气追涨逻辑。</w:t>
      </w:r>
    </w:p>
    <w:p>
      <w:r>
        <w:pict>
          <v:rect style="width:0;height:1.5pt" o:hralign="center" o:hrstd="t" o:hr="t"/>
        </w:pict>
      </w:r>
    </w:p>
    <w:p>
      <w:pPr>
        <w:pStyle w:val="Heading2"/>
      </w:pPr>
      <w:bookmarkStart w:id="45" w:name="昨日复盘要点"/>
      <w:r>
        <w:t xml:space="preserve">📊 昨日复盘要点</w:t>
      </w:r>
      <w:bookmarkEnd w:id="45"/>
    </w:p>
    <w:p>
      <w:pPr>
        <w:numPr>
          <w:ilvl w:val="0"/>
          <w:numId w:val="1023"/>
        </w:numPr>
      </w:pPr>
      <w:r>
        <w:t xml:space="preserve">📈 上证指数：3951.5068点，+0.2780%，新浪/东方财富/腾讯一致。</w:t>
      </w:r>
    </w:p>
    <w:p>
      <w:pPr>
        <w:numPr>
          <w:ilvl w:val="0"/>
          <w:numId w:val="1023"/>
        </w:numPr>
      </w:pPr>
      <w:r>
        <w:t xml:space="preserve">📈 深证成指：13723.322点，+0.1468%，新浪/东方财富/腾讯一致。</w:t>
      </w:r>
    </w:p>
    <w:p>
      <w:pPr>
        <w:numPr>
          <w:ilvl w:val="0"/>
          <w:numId w:val="1023"/>
        </w:numPr>
      </w:pPr>
      <w:r>
        <w:t xml:space="preserve">📉 创业板指：3354.969点，-0.1413%，新浪/东方财富/腾讯一致。</w:t>
      </w:r>
    </w:p>
    <w:p>
      <w:pPr>
        <w:numPr>
          <w:ilvl w:val="0"/>
          <w:numId w:val="1023"/>
        </w:numPr>
      </w:pPr>
      <w:r>
        <w:t xml:space="preserve">📉 科创50：1580.0588点，-0.6874%，新浪/东方财富/腾讯一致。</w:t>
      </w:r>
    </w:p>
    <w:p>
      <w:pPr>
        <w:numPr>
          <w:ilvl w:val="0"/>
          <w:numId w:val="1023"/>
        </w:numPr>
      </w:pPr>
      <w:r>
        <w:t xml:space="preserve">📈 沪深300：4572.5995点，+0.3041%，新浪/东方财富/腾讯一致。</w:t>
      </w:r>
    </w:p>
    <w:p>
      <w:pPr>
        <w:numPr>
          <w:ilvl w:val="0"/>
          <w:numId w:val="1023"/>
        </w:numPr>
      </w:pPr>
      <w:r>
        <w:t xml:space="preserve">📉 赚钱效应偏弱：上涨1794家、下跌3642家、平盘114家，涨停49家、跌停7家；该组数据为同花顺单源。</w:t>
      </w:r>
    </w:p>
    <w:p>
      <w:pPr>
        <w:numPr>
          <w:ilvl w:val="0"/>
          <w:numId w:val="1023"/>
        </w:numPr>
      </w:pPr>
      <w:r>
        <w:t xml:space="preserve">💰 同花顺显示9月9日全市场累计成交额18730.67亿元；其对比栏列示前值19782.20亿元，但比较口径为</w:t>
      </w:r>
      <w:r>
        <w:t xml:space="preserve"> </w:t>
      </w:r>
      <w:r>
        <w:rPr>
          <w:rStyle w:val="VerbatimChar"/>
        </w:rPr>
        <w:t xml:space="preserve">unverified</w:t>
      </w:r>
      <w:r>
        <w:t xml:space="preserve">，因此不计算或引用成交额变化百分比。</w:t>
      </w:r>
    </w:p>
    <w:p>
      <w:pPr>
        <w:numPr>
          <w:ilvl w:val="0"/>
          <w:numId w:val="1023"/>
        </w:numPr>
      </w:pPr>
      <w:r>
        <w:t xml:space="preserve">🎭 指数平均表现接近平盘，但下跌家数显著多于上涨家数，权重相对强、个股普遍承压，市场风格定性为</w:t>
      </w:r>
      <w:r>
        <w:t xml:space="preserve">“</w:t>
      </w:r>
      <w:r>
        <w:t xml:space="preserve">偏弱/防御</w:t>
      </w:r>
      <w:r>
        <w:t xml:space="preserve">”</w:t>
      </w:r>
      <w:r>
        <w:t xml:space="preserve">。</w:t>
      </w:r>
    </w:p>
    <w:p>
      <w:pPr>
        <w:pStyle w:val="Heading3"/>
      </w:pPr>
      <w:bookmarkStart w:id="46" w:name="昨日资金流向"/>
      <w:r>
        <w:t xml:space="preserve">💰 昨日资金流向</w:t>
      </w:r>
      <w:bookmarkEnd w:id="46"/>
    </w:p>
    <w:p>
      <w:pPr>
        <w:numPr>
          <w:ilvl w:val="0"/>
          <w:numId w:val="1024"/>
        </w:numPr>
        <w:pStyle w:val="Compact"/>
      </w:pPr>
      <w:r>
        <w:t xml:space="preserve">💰 资金流入 TOP10：未核验。采集 JSON 的</w:t>
      </w:r>
      <w:r>
        <w:t xml:space="preserve"> </w:t>
      </w:r>
      <w:r>
        <w:rPr>
          <w:rStyle w:val="VerbatimChar"/>
        </w:rPr>
        <w:t xml:space="preserve">money_flow.ok=false</w:t>
      </w:r>
      <w:r>
        <w:t xml:space="preserve">，不存在可引用的真实TOP10榜单。</w:t>
      </w:r>
    </w:p>
    <w:p>
      <w:pPr>
        <w:numPr>
          <w:ilvl w:val="0"/>
          <w:numId w:val="1024"/>
        </w:numPr>
        <w:pStyle w:val="Compact"/>
      </w:pPr>
      <w:r>
        <w:t xml:space="preserve">⚠️ 资金流出 TOP10：未核验。禁止使用华泰文字分析或搜索结果替代结构化资金榜单。</w:t>
      </w:r>
    </w:p>
    <w:p>
      <w:pPr>
        <w:numPr>
          <w:ilvl w:val="0"/>
          <w:numId w:val="1024"/>
        </w:numPr>
        <w:pStyle w:val="Compact"/>
      </w:pPr>
      <w:r>
        <w:t xml:space="preserve">🚫 影响：今日所有方向均需等待开盘后资金流与成交验证，不能把盘前逻辑写成既成主线。</w:t>
      </w:r>
    </w:p>
    <w:p>
      <w:r>
        <w:pict>
          <v:rect style="width:0;height:1.5pt" o:hralign="center" o:hrstd="t" o:hr="t"/>
        </w:pict>
      </w:r>
    </w:p>
    <w:p>
      <w:pPr>
        <w:pStyle w:val="Heading2"/>
      </w:pPr>
      <w:bookmarkStart w:id="47" w:name="今日重点投资方向"/>
      <w:r>
        <w:t xml:space="preserve">🎯 今日重点投资方向</w:t>
      </w:r>
      <w:bookmarkEnd w:id="47"/>
    </w:p>
    <w:p>
      <w:pPr>
        <w:pStyle w:val="Heading3"/>
      </w:pPr>
      <w:bookmarkStart w:id="48" w:name="方向一油气油服油运优先级高但不追高"/>
      <w:r>
        <w:t xml:space="preserve">方向一：油气—油服—油运（优先级：高，但不追高）</w:t>
      </w:r>
      <w:bookmarkEnd w:id="48"/>
    </w:p>
    <w:p>
      <w:pPr>
        <w:numPr>
          <w:ilvl w:val="0"/>
          <w:numId w:val="1025"/>
        </w:numPr>
        <w:pStyle w:val="Compact"/>
      </w:pPr>
      <w:r>
        <w:t xml:space="preserve">📌 证据链：WTI原油报96.685、上涨0.66%；新闻联播确认美伊冲突涉及油轮、军舰和霍尔木兹海峡入口；国内快讯确认我国首个百米水深油气原位扩容平台投入使用；华泰单源选股中云煤能源上一交易日涨10.07%、主力净流入6880.96万元。</w:t>
      </w:r>
    </w:p>
    <w:p>
      <w:pPr>
        <w:numPr>
          <w:ilvl w:val="0"/>
          <w:numId w:val="1025"/>
        </w:numPr>
        <w:pStyle w:val="Compact"/>
      </w:pPr>
      <w:r>
        <w:t xml:space="preserve">🔥 核心标的：中国海油（上游油气龙头观察）、中曼石油（油服弹性观察）、招商轮船（油运风险溢价观察）、云煤能源（华泰单源高辨识度样本，不以其替代油气主线验证）。</w:t>
      </w:r>
    </w:p>
    <w:p>
      <w:pPr>
        <w:numPr>
          <w:ilvl w:val="0"/>
          <w:numId w:val="1025"/>
        </w:numPr>
        <w:pStyle w:val="Compact"/>
      </w:pPr>
      <w:r>
        <w:t xml:space="preserve">💡 参与策略：激进仓位上限40%，仅在油价继续走强且油气/油运开盘不出现高开低走时小仓试错；均衡上限25%，等板块回踩承接与资金净流入确认；保守上限10%，只跟踪龙头，不参与事件脉冲。</w:t>
      </w:r>
    </w:p>
    <w:p>
      <w:pPr>
        <w:numPr>
          <w:ilvl w:val="0"/>
          <w:numId w:val="1025"/>
        </w:numPr>
        <w:pStyle w:val="Compact"/>
      </w:pPr>
      <w:r>
        <w:t xml:space="preserve">✅ 触发条件：原油维持强势、板块成交放大、至少两只核心标的同步走强，且资金流榜单恢复后显示净流入。</w:t>
      </w:r>
    </w:p>
    <w:p>
      <w:pPr>
        <w:numPr>
          <w:ilvl w:val="0"/>
          <w:numId w:val="1025"/>
        </w:numPr>
        <w:pStyle w:val="Compact"/>
      </w:pPr>
      <w:r>
        <w:t xml:space="preserve">🚫 失效条件：冲突降级、原油转弱、板块高开低走或资金由净流入转净流出。</w:t>
      </w:r>
    </w:p>
    <w:p>
      <w:pPr>
        <w:numPr>
          <w:ilvl w:val="0"/>
          <w:numId w:val="1025"/>
        </w:numPr>
        <w:pStyle w:val="Compact"/>
      </w:pPr>
      <w:r>
        <w:t xml:space="preserve">⚠️ 风险：事件快速反转、高位兑现、能源价格上涨反噬需求。</w:t>
      </w:r>
    </w:p>
    <w:p>
      <w:pPr>
        <w:pStyle w:val="Heading3"/>
      </w:pPr>
      <w:bookmarkStart w:id="49" w:name="方向二服务贸易ai应用数字基础设施优先级中"/>
      <w:r>
        <w:t xml:space="preserve">方向二：服务贸易—AI应用—数字基础设施（优先级：中）</w:t>
      </w:r>
      <w:bookmarkEnd w:id="49"/>
    </w:p>
    <w:p>
      <w:pPr>
        <w:numPr>
          <w:ilvl w:val="0"/>
          <w:numId w:val="1026"/>
        </w:numPr>
        <w:pStyle w:val="Compact"/>
      </w:pPr>
      <w:r>
        <w:t xml:space="preserve">📌 证据链：全球服务贸易峰会明确提出AI数智赋能与数字基础设施互联；新职业中数字职业占45%，点名数字孪生、具身智能和智能体开发；8月PPI数据提到计算机通信等下游制造价格改善；华泰单源样本兆龙互连上一交易日涨14.72%、主力净流入2.14亿元。</w:t>
      </w:r>
    </w:p>
    <w:p>
      <w:pPr>
        <w:numPr>
          <w:ilvl w:val="0"/>
          <w:numId w:val="1026"/>
        </w:numPr>
        <w:pStyle w:val="Compact"/>
      </w:pPr>
      <w:r>
        <w:t xml:space="preserve">🔥 核心标的：兆龙互连（华泰单源资金与涨幅样本）、剑桥科技（算力硬件观察）、亨通光电（通信基础设施观察）、华工科技（光通信与智能制造观察）、风语筑（数字展示/文化科技，自选股内观察）。</w:t>
      </w:r>
    </w:p>
    <w:p>
      <w:pPr>
        <w:numPr>
          <w:ilvl w:val="0"/>
          <w:numId w:val="1026"/>
        </w:numPr>
        <w:pStyle w:val="Compact"/>
      </w:pPr>
      <w:r>
        <w:t xml:space="preserve">💡 参与策略：激进只做开盘分歧后的强承接；均衡等待板块资金和成交确认；保守等待政策订单或业绩催化，不追概念高开。</w:t>
      </w:r>
    </w:p>
    <w:p>
      <w:pPr>
        <w:numPr>
          <w:ilvl w:val="0"/>
          <w:numId w:val="1026"/>
        </w:numPr>
        <w:pStyle w:val="Compact"/>
      </w:pPr>
      <w:r>
        <w:t xml:space="preserve">✅ 触发条件：AI应用与通信硬件至少两个细分同时走强、兆龙互连等高辨识度样本不出现放量长阴、板块主力资金转为净流入。</w:t>
      </w:r>
    </w:p>
    <w:p>
      <w:pPr>
        <w:numPr>
          <w:ilvl w:val="0"/>
          <w:numId w:val="1026"/>
        </w:numPr>
        <w:pStyle w:val="Compact"/>
      </w:pPr>
      <w:r>
        <w:t xml:space="preserve">🚫 失效条件：只有个股脉冲而板块无扩散、核心标的跌破开盘价且无法收回、资金流持续为负。</w:t>
      </w:r>
    </w:p>
    <w:p>
      <w:pPr>
        <w:numPr>
          <w:ilvl w:val="0"/>
          <w:numId w:val="1026"/>
        </w:numPr>
        <w:pStyle w:val="Compact"/>
      </w:pPr>
      <w:r>
        <w:t xml:space="preserve">⚠️ 风险：高估值、题材兑现、华泰候选股缺少本地三源行情交叉验证。</w:t>
      </w:r>
    </w:p>
    <w:p>
      <w:pPr>
        <w:pStyle w:val="Heading3"/>
      </w:pPr>
      <w:bookmarkStart w:id="50" w:name="方向三银行高股息防御优先级中"/>
      <w:r>
        <w:t xml:space="preserve">方向三：银行—高股息防御（优先级：中）</w:t>
      </w:r>
      <w:bookmarkEnd w:id="50"/>
    </w:p>
    <w:p>
      <w:pPr>
        <w:numPr>
          <w:ilvl w:val="0"/>
          <w:numId w:val="1027"/>
        </w:numPr>
        <w:pStyle w:val="Compact"/>
      </w:pPr>
      <w:r>
        <w:t xml:space="preserve">📌 证据链：昨日沪深300上涨0.3041%，强于创业板与科创50；全市场下跌3642家，防御需求上升；华泰市场洞察把周期与红利列为短期关注方向；工商银行自选股报价8.00元、上涨0.76%。</w:t>
      </w:r>
    </w:p>
    <w:p>
      <w:pPr>
        <w:numPr>
          <w:ilvl w:val="0"/>
          <w:numId w:val="1027"/>
        </w:numPr>
        <w:pStyle w:val="Compact"/>
      </w:pPr>
      <w:r>
        <w:t xml:space="preserve">🔥 核心标的：工商银行（已获华泰结构化报价）、农业银行（用户持仓，实时行情未核验）、中国海油（资源+红利观察）、公路类红利龙头（具体标的待板块资金榜恢复后筛选）。</w:t>
      </w:r>
    </w:p>
    <w:p>
      <w:pPr>
        <w:numPr>
          <w:ilvl w:val="0"/>
          <w:numId w:val="1027"/>
        </w:numPr>
        <w:pStyle w:val="Compact"/>
      </w:pPr>
      <w:r>
        <w:t xml:space="preserve">💡 参与策略：激进不做红利加速段；均衡以回踩承接为主；保守可维持10%以内防御底仓，避免单日集中追涨。</w:t>
      </w:r>
    </w:p>
    <w:p>
      <w:pPr>
        <w:numPr>
          <w:ilvl w:val="0"/>
          <w:numId w:val="1027"/>
        </w:numPr>
        <w:pStyle w:val="Compact"/>
      </w:pPr>
      <w:r>
        <w:t xml:space="preserve">✅ 触发条件：沪深300相对成长指数继续占优、银行板块资金净流入、工商银行站稳8.00元且不出现放量冲高回落。</w:t>
      </w:r>
    </w:p>
    <w:p>
      <w:pPr>
        <w:numPr>
          <w:ilvl w:val="0"/>
          <w:numId w:val="1027"/>
        </w:numPr>
        <w:pStyle w:val="Compact"/>
      </w:pPr>
      <w:r>
        <w:t xml:space="preserve">🚫 失效条件：成长风格全面反转并虹吸红利资金、银行板块跌破前一交易日低位、工商银行跌破7.94元后无法收回。</w:t>
      </w:r>
    </w:p>
    <w:p>
      <w:pPr>
        <w:numPr>
          <w:ilvl w:val="0"/>
          <w:numId w:val="1027"/>
        </w:numPr>
        <w:pStyle w:val="Compact"/>
      </w:pPr>
      <w:r>
        <w:t xml:space="preserve">⚠️ 风险：利率预期变化、净息差压力、拥挤交易回撤。</w:t>
      </w:r>
    </w:p>
    <w:p>
      <w:r>
        <w:pict>
          <v:rect style="width:0;height:1.5pt" o:hralign="center" o:hrstd="t" o:hr="t"/>
        </w:pict>
      </w:r>
    </w:p>
    <w:p>
      <w:pPr>
        <w:pStyle w:val="Heading2"/>
      </w:pPr>
      <w:bookmarkStart w:id="51" w:name="华泰自选股观察"/>
      <w:r>
        <w:t xml:space="preserve">🧾 华泰自选股观察</w:t>
      </w:r>
      <w:bookmarkEnd w:id="51"/>
    </w:p>
    <w:p>
      <w:pPr>
        <w:pStyle w:val="FirstParagraph"/>
      </w:pPr>
      <w:r>
        <w:t xml:space="preserve">自选股共3只，已取得3只华泰报价。工商银行与防御主线共振最强；风语筑与服务贸易/AI应用存在弱共振；弘元绿能与今日资源、防御主线不共振。除工商银行外，以跟踪为主、暂不作为主攻方向。</w:t>
      </w:r>
    </w:p>
    <w:p>
      <w:pPr>
        <w:numPr>
          <w:ilvl w:val="0"/>
          <w:numId w:val="1028"/>
        </w:numPr>
        <w:pStyle w:val="Compact"/>
      </w:pPr>
      <w:r>
        <w:t xml:space="preserve">📉 603185 弘元绿能：最新价14.80元，较前收14.97元下跌1.14%。所属光伏硅料/硅片方向，与今日油气、服务贸易和高股息主线无明显共振。结论：偏弱、继续观察，不追高；只有重回14.97元并出现光伏板块资金共振，才可低吸跟踪。</w:t>
      </w:r>
    </w:p>
    <w:p>
      <w:pPr>
        <w:numPr>
          <w:ilvl w:val="0"/>
          <w:numId w:val="1028"/>
        </w:numPr>
        <w:pStyle w:val="Compact"/>
      </w:pPr>
      <w:r>
        <w:t xml:space="preserve">📈 603466 风语筑：最新价12.91元，较前收12.62元上涨2.30%。所属数字展示、文化科技和AI应用方向，与服务贸易—AI应用有弱共振。结论：偏强观察但不追高；若回踩12.62元不破并重新站上12.91元，可继续跟踪。</w:t>
      </w:r>
    </w:p>
    <w:p>
      <w:pPr>
        <w:numPr>
          <w:ilvl w:val="0"/>
          <w:numId w:val="1028"/>
        </w:numPr>
        <w:pStyle w:val="Compact"/>
      </w:pPr>
      <w:r>
        <w:t xml:space="preserve">📈 601398 工商银行：最新价8.00元，较前收7.94元上涨0.76%。所属银行与高股息方向，与防御主线共振。结论：稳健持有观察；若站稳8.00元且银行板块资金流入确认，可低吸跟踪，跌破7.94元后无法收回则转谨慎。</w:t>
      </w:r>
    </w:p>
    <w:p>
      <w:r>
        <w:pict>
          <v:rect style="width:0;height:1.5pt" o:hralign="center" o:hrstd="t" o:hr="t"/>
        </w:pict>
      </w:r>
    </w:p>
    <w:p>
      <w:pPr>
        <w:pStyle w:val="Heading2"/>
      </w:pPr>
      <w:bookmarkStart w:id="52" w:name="用户实盘持仓策略"/>
      <w:r>
        <w:t xml:space="preserve">💼 用户实盘持仓策略</w:t>
      </w:r>
      <w:bookmarkEnd w:id="52"/>
    </w:p>
    <w:p>
      <w:pPr>
        <w:pStyle w:val="BlockText"/>
      </w:pPr>
      <w:r>
        <w:t xml:space="preserve">⚠️ 盈亏仅按</w:t>
      </w:r>
      <w:r>
        <w:t xml:space="preserve">“</w:t>
      </w:r>
      <w:r>
        <w:t xml:space="preserve">成本价与最新可得报价</w:t>
      </w:r>
      <w:r>
        <w:t xml:space="preserve">”</w:t>
      </w:r>
      <w:r>
        <w:t xml:space="preserve">静态计算，不含佣金、税费和分红。弘元绿能、风语筑、工商银行为华泰单源报价；农业银行实时价格、趋势、量价和技术位均未核验。</w:t>
      </w:r>
    </w:p>
    <w:p>
      <w:pPr>
        <w:pStyle w:val="Heading3"/>
      </w:pPr>
      <w:bookmarkStart w:id="53" w:name="弘元绿能300股成本26.6669元"/>
      <w:r>
        <w:t xml:space="preserve">📉 603185 弘元绿能｜300股｜成本26.6669元</w:t>
      </w:r>
      <w:bookmarkEnd w:id="53"/>
    </w:p>
    <w:p>
      <w:pPr>
        <w:numPr>
          <w:ilvl w:val="0"/>
          <w:numId w:val="1029"/>
        </w:numPr>
        <w:pStyle w:val="Compact"/>
      </w:pPr>
      <w:r>
        <w:t xml:space="preserve">📊 最新可得价14.80元，静态浮亏44.50%，静态浮亏3560.07元；当前价明显低于成本，但不能以</w:t>
      </w:r>
      <w:r>
        <w:t xml:space="preserve">“</w:t>
      </w:r>
      <w:r>
        <w:t xml:space="preserve">等回本</w:t>
      </w:r>
      <w:r>
        <w:t xml:space="preserve">”</w:t>
      </w:r>
      <w:r>
        <w:t xml:space="preserve">作为策略依据。</w:t>
      </w:r>
    </w:p>
    <w:p>
      <w:pPr>
        <w:numPr>
          <w:ilvl w:val="0"/>
          <w:numId w:val="1029"/>
        </w:numPr>
        <w:pStyle w:val="Compact"/>
      </w:pPr>
      <w:r>
        <w:t xml:space="preserve">🔎 方向与量价：光伏硅片方向与今日主线不共振，最新表现-1.14%；成交量、均线和公告均未核验，趋势只能定性为弱势观察。</w:t>
      </w:r>
    </w:p>
    <w:p>
      <w:pPr>
        <w:numPr>
          <w:ilvl w:val="0"/>
          <w:numId w:val="1029"/>
        </w:numPr>
        <w:pStyle w:val="Compact"/>
      </w:pPr>
      <w:r>
        <w:t xml:space="preserve">💡 今日动作：减仓观察。若开盘后跌破14.80元且30分钟内不能收回，先减仓控制风险；若跌破13.47元这一当日跌停边界，停止任何加仓设想并按极端风险处理。</w:t>
      </w:r>
    </w:p>
    <w:p>
      <w:pPr>
        <w:numPr>
          <w:ilvl w:val="0"/>
          <w:numId w:val="1029"/>
        </w:numPr>
        <w:pStyle w:val="Compact"/>
      </w:pPr>
      <w:r>
        <w:t xml:space="preserve">✅ 条件加仓：仅当价格重新站稳14.97元、光伏板块同步走强、成交放大且资金净流入恢复确认时，才允许小仓试错；不满足则禁止摊薄。</w:t>
      </w:r>
    </w:p>
    <w:p>
      <w:pPr>
        <w:numPr>
          <w:ilvl w:val="0"/>
          <w:numId w:val="1029"/>
        </w:numPr>
        <w:pStyle w:val="Compact"/>
      </w:pPr>
      <w:r>
        <w:t xml:space="preserve">🚫 失效条件：重回14.97元后再次跌破、板块冲高回落或公司出现负面公告。</w:t>
      </w:r>
    </w:p>
    <w:p>
      <w:pPr>
        <w:numPr>
          <w:ilvl w:val="0"/>
          <w:numId w:val="1029"/>
        </w:numPr>
        <w:pStyle w:val="Compact"/>
      </w:pPr>
      <w:r>
        <w:t xml:space="preserve">⚠️ 风险：深度套牢、光伏供需与价格压力、数据源单一、公告缺失。</w:t>
      </w:r>
    </w:p>
    <w:p>
      <w:pPr>
        <w:pStyle w:val="Heading3"/>
      </w:pPr>
      <w:bookmarkStart w:id="54" w:name="风语筑700股成本13.2159元"/>
      <w:r>
        <w:t xml:space="preserve">📈 603466 风语筑｜700股｜成本13.2159元</w:t>
      </w:r>
      <w:bookmarkEnd w:id="54"/>
    </w:p>
    <w:p>
      <w:pPr>
        <w:numPr>
          <w:ilvl w:val="0"/>
          <w:numId w:val="1030"/>
        </w:numPr>
        <w:pStyle w:val="Compact"/>
      </w:pPr>
      <w:r>
        <w:t xml:space="preserve">📊 最新可得价12.91元，静态浮亏2.31%，静态浮亏214.13元；接近成本不代表必须等待回本，决策以板块与价格结构为准。</w:t>
      </w:r>
    </w:p>
    <w:p>
      <w:pPr>
        <w:numPr>
          <w:ilvl w:val="0"/>
          <w:numId w:val="1030"/>
        </w:numPr>
        <w:pStyle w:val="Compact"/>
      </w:pPr>
      <w:r>
        <w:t xml:space="preserve">🔎 方向与量价：数字展示/文化科技与服务贸易—AI应用弱共振，最新上涨2.30%；成交量、均线和公告未核验。</w:t>
      </w:r>
    </w:p>
    <w:p>
      <w:pPr>
        <w:numPr>
          <w:ilvl w:val="0"/>
          <w:numId w:val="1030"/>
        </w:numPr>
        <w:pStyle w:val="Compact"/>
      </w:pPr>
      <w:r>
        <w:t xml:space="preserve">💡 今日动作：持有观察。12.62元为前收参考支点；跌破12.62元且无法快速收回，减仓控制回撤。若冲向13.88元当日涨停边界但板块不跟随，不追涨并可分批兑现。</w:t>
      </w:r>
    </w:p>
    <w:p>
      <w:pPr>
        <w:numPr>
          <w:ilvl w:val="0"/>
          <w:numId w:val="1030"/>
        </w:numPr>
        <w:pStyle w:val="Compact"/>
      </w:pPr>
      <w:r>
        <w:t xml:space="preserve">✅ 条件加仓：回踩12.62元不破、重新站上12.91元，同时AI应用/服务贸易板块放量并确认资金净流入，才可小仓加仓。</w:t>
      </w:r>
    </w:p>
    <w:p>
      <w:pPr>
        <w:numPr>
          <w:ilvl w:val="0"/>
          <w:numId w:val="1030"/>
        </w:numPr>
        <w:pStyle w:val="Compact"/>
      </w:pPr>
      <w:r>
        <w:t xml:space="preserve">🚫 失效条件：跌破12.62元后持续弱于板块，或高开低走并跌破开盘价。</w:t>
      </w:r>
    </w:p>
    <w:p>
      <w:pPr>
        <w:numPr>
          <w:ilvl w:val="0"/>
          <w:numId w:val="1030"/>
        </w:numPr>
        <w:pStyle w:val="Compact"/>
      </w:pPr>
      <w:r>
        <w:t xml:space="preserve">⚠️ 风险：题材持续性不足、文化传媒高位兑现、个股行情未获三源交叉验证。</w:t>
      </w:r>
    </w:p>
    <w:p>
      <w:pPr>
        <w:pStyle w:val="Heading3"/>
      </w:pPr>
      <w:bookmarkStart w:id="55" w:name="工商银行1900股成本7.0601元"/>
      <w:r>
        <w:t xml:space="preserve">📈 601398 工商银行｜1900股｜成本7.0601元</w:t>
      </w:r>
      <w:bookmarkEnd w:id="55"/>
    </w:p>
    <w:p>
      <w:pPr>
        <w:numPr>
          <w:ilvl w:val="0"/>
          <w:numId w:val="1031"/>
        </w:numPr>
        <w:pStyle w:val="Compact"/>
      </w:pPr>
      <w:r>
        <w:t xml:space="preserve">📊 最新可得价8.00元，静态浮盈13.31%，静态浮盈1785.81元，是四只持仓中当前最稳健的防御仓位。</w:t>
      </w:r>
    </w:p>
    <w:p>
      <w:pPr>
        <w:numPr>
          <w:ilvl w:val="0"/>
          <w:numId w:val="1031"/>
        </w:numPr>
        <w:pStyle w:val="Compact"/>
      </w:pPr>
      <w:r>
        <w:t xml:space="preserve">🔎 方向与量价：银行/高股息与偏弱防御环境共振，最新上涨0.76%；成交量、均线和公告未核验。</w:t>
      </w:r>
    </w:p>
    <w:p>
      <w:pPr>
        <w:numPr>
          <w:ilvl w:val="0"/>
          <w:numId w:val="1031"/>
        </w:numPr>
        <w:pStyle w:val="Compact"/>
      </w:pPr>
      <w:r>
        <w:t xml:space="preserve">💡 今日动作：持有。若跌破7.94元且银行板块同步转弱，可减仓锁定部分利润；若冲高接近8.73元当日涨停边界但成交和板块不配合，不追涨并考虑分批止盈。</w:t>
      </w:r>
    </w:p>
    <w:p>
      <w:pPr>
        <w:numPr>
          <w:ilvl w:val="0"/>
          <w:numId w:val="1031"/>
        </w:numPr>
        <w:pStyle w:val="Compact"/>
      </w:pPr>
      <w:r>
        <w:t xml:space="preserve">✅ 条件加仓：站稳8.00元、回踩不破且银行板块资金净流入确认时，才可小仓增加防御配置。</w:t>
      </w:r>
    </w:p>
    <w:p>
      <w:pPr>
        <w:numPr>
          <w:ilvl w:val="0"/>
          <w:numId w:val="1031"/>
        </w:numPr>
        <w:pStyle w:val="Compact"/>
      </w:pPr>
      <w:r>
        <w:t xml:space="preserve">🚫 失效条件：跌破7.94元后不能收回，或红利板块出现放量集体补跌。</w:t>
      </w:r>
    </w:p>
    <w:p>
      <w:pPr>
        <w:numPr>
          <w:ilvl w:val="0"/>
          <w:numId w:val="1031"/>
        </w:numPr>
        <w:pStyle w:val="Compact"/>
      </w:pPr>
      <w:r>
        <w:t xml:space="preserve">⚠️ 风险：净息差、利率预期、红利拥挤度及单源行情误差。</w:t>
      </w:r>
    </w:p>
    <w:p>
      <w:pPr>
        <w:pStyle w:val="Heading3"/>
      </w:pPr>
      <w:bookmarkStart w:id="56" w:name="农业银行5300股成本6.4244元"/>
      <w:r>
        <w:t xml:space="preserve">⚠️ 601288 农业银行｜5300股｜成本6.4244元</w:t>
      </w:r>
      <w:bookmarkEnd w:id="56"/>
    </w:p>
    <w:p>
      <w:pPr>
        <w:numPr>
          <w:ilvl w:val="0"/>
          <w:numId w:val="1032"/>
        </w:numPr>
        <w:pStyle w:val="Compact"/>
      </w:pPr>
      <w:r>
        <w:t xml:space="preserve">📊 实时价格未取得，当前盈亏幅度无法核验；禁止根据成本价反推盈亏或虚构支撑阻力。</w:t>
      </w:r>
    </w:p>
    <w:p>
      <w:pPr>
        <w:numPr>
          <w:ilvl w:val="0"/>
          <w:numId w:val="1032"/>
        </w:numPr>
        <w:pStyle w:val="Compact"/>
      </w:pPr>
      <w:r>
        <w:t xml:space="preserve">🔎 方向与量价：属于银行/高股息防御方向，与今日风格有逻辑共振，但个股最新价、前收、均线、成交和公告均缺失。</w:t>
      </w:r>
    </w:p>
    <w:p>
      <w:pPr>
        <w:numPr>
          <w:ilvl w:val="0"/>
          <w:numId w:val="1032"/>
        </w:numPr>
        <w:pStyle w:val="Compact"/>
      </w:pPr>
      <w:r>
        <w:t xml:space="preserve">💡 今日动作：持有观察，不新增仓位。若开盘后跌破前一交易日低点且银行指数同步转弱，减仓；若出现放量长阴，优先控制回撤。</w:t>
      </w:r>
    </w:p>
    <w:p>
      <w:pPr>
        <w:numPr>
          <w:ilvl w:val="0"/>
          <w:numId w:val="1032"/>
        </w:numPr>
        <w:pStyle w:val="Compact"/>
      </w:pPr>
      <w:r>
        <w:t xml:space="preserve">✅ 条件加仓：必须同时满足</w:t>
      </w:r>
      <w:r>
        <w:t xml:space="preserve">“</w:t>
      </w:r>
      <w:r>
        <w:t xml:space="preserve">站稳当日开盘价、回踩前收不破、银行板块资金净流入、工商银行等同业同步走强</w:t>
      </w:r>
      <w:r>
        <w:t xml:space="preserve">”</w:t>
      </w:r>
      <w:r>
        <w:t xml:space="preserve">，再考虑小仓加仓。</w:t>
      </w:r>
    </w:p>
    <w:p>
      <w:pPr>
        <w:numPr>
          <w:ilvl w:val="0"/>
          <w:numId w:val="1032"/>
        </w:numPr>
        <w:pStyle w:val="Compact"/>
      </w:pPr>
      <w:r>
        <w:t xml:space="preserve">🚫 失效条件：银行板块由防御转为补跌，或个股跌破前低后不能收回。</w:t>
      </w:r>
    </w:p>
    <w:p>
      <w:pPr>
        <w:numPr>
          <w:ilvl w:val="0"/>
          <w:numId w:val="1032"/>
        </w:numPr>
        <w:pStyle w:val="Compact"/>
      </w:pPr>
      <w:r>
        <w:t xml:space="preserve">⚠️ 风险：行情与公告未核验、净息差压力、红利交易拥挤；不允许无条件摊薄。</w:t>
      </w:r>
    </w:p>
    <w:p>
      <w:pPr>
        <w:pStyle w:val="Heading3"/>
      </w:pPr>
      <w:bookmarkStart w:id="57" w:name="持仓优先级"/>
      <w:r>
        <w:t xml:space="preserve">💡 持仓优先级</w:t>
      </w:r>
      <w:bookmarkEnd w:id="57"/>
    </w:p>
    <w:p>
      <w:pPr>
        <w:numPr>
          <w:ilvl w:val="0"/>
          <w:numId w:val="1033"/>
        </w:numPr>
        <w:pStyle w:val="Compact"/>
      </w:pPr>
      <w:r>
        <w:t xml:space="preserve">⚠️ 最该减仓观察：弘元绿能，深度浮亏且与今日主线不共振，14.80元失守后不能收回应优先降风险。</w:t>
      </w:r>
    </w:p>
    <w:p>
      <w:pPr>
        <w:numPr>
          <w:ilvl w:val="0"/>
          <w:numId w:val="1033"/>
        </w:numPr>
        <w:pStyle w:val="Compact"/>
      </w:pPr>
      <w:r>
        <w:t xml:space="preserve">🛡️ 最稳健持有：工商银行，当前静态浮盈13.31%，与高股息防御共振，但7.94元失守需转谨慎。</w:t>
      </w:r>
    </w:p>
    <w:p>
      <w:pPr>
        <w:numPr>
          <w:ilvl w:val="0"/>
          <w:numId w:val="1033"/>
        </w:numPr>
        <w:pStyle w:val="Compact"/>
      </w:pPr>
      <w:r>
        <w:t xml:space="preserve">✅ 满足条件才可加仓：风语筑需12.62元承接、重回12.91元并获AI应用板块资金确认；农业银行必须先补齐行情并确认银行板块共振。</w:t>
      </w:r>
    </w:p>
    <w:p>
      <w:r>
        <w:pict>
          <v:rect style="width:0;height:1.5pt" o:hralign="center" o:hrstd="t" o:hr="t"/>
        </w:pict>
      </w:r>
    </w:p>
    <w:p>
      <w:pPr>
        <w:pStyle w:val="Heading2"/>
      </w:pPr>
      <w:bookmarkStart w:id="58" w:name="今日操作策略"/>
      <w:r>
        <w:t xml:space="preserve">🎯 今日操作策略</w:t>
      </w:r>
      <w:bookmarkEnd w:id="58"/>
    </w:p>
    <w:p>
      <w:pPr>
        <w:numPr>
          <w:ilvl w:val="0"/>
          <w:numId w:val="1034"/>
        </w:numPr>
        <w:pStyle w:val="Compact"/>
      </w:pPr>
      <w:r>
        <w:t xml:space="preserve">🎭 市场预判：震荡偏弱、防御占优。昨日上涨1794家、下跌3642家，A50期指跌0.39%，不支持开盘即扩大风险敞口。</w:t>
      </w:r>
    </w:p>
    <w:p>
      <w:pPr>
        <w:numPr>
          <w:ilvl w:val="0"/>
          <w:numId w:val="1034"/>
        </w:numPr>
        <w:pStyle w:val="Compact"/>
      </w:pPr>
      <w:r>
        <w:t xml:space="preserve">💡 仓位模型：激进型不超过40%，均衡型不超过25%，保守型不超过10%；该模型置信度为 normal，且资金流、板块与活跃股关键源缺失。</w:t>
      </w:r>
    </w:p>
    <w:p>
      <w:pPr>
        <w:numPr>
          <w:ilvl w:val="0"/>
          <w:numId w:val="1034"/>
        </w:numPr>
        <w:pStyle w:val="Compact"/>
      </w:pPr>
      <w:r>
        <w:t xml:space="preserve">🚀 关注顺序：先看油气—油服—油运的事件强度，再看服务贸易—AI应用是否由政策转为资金共振，最后用银行—高股息做防御观察。</w:t>
      </w:r>
    </w:p>
    <w:p>
      <w:pPr>
        <w:numPr>
          <w:ilvl w:val="0"/>
          <w:numId w:val="1034"/>
        </w:numPr>
        <w:pStyle w:val="Compact"/>
      </w:pPr>
      <w:r>
        <w:t xml:space="preserve">✅ 开仓原则：至少满足</w:t>
      </w:r>
      <w:r>
        <w:t xml:space="preserve">“</w:t>
      </w:r>
      <w:r>
        <w:t xml:space="preserve">方向催化真实、板块成交放大、核心标的不高开低走</w:t>
      </w:r>
      <w:r>
        <w:t xml:space="preserve">”</w:t>
      </w:r>
      <w:r>
        <w:t xml:space="preserve">中的两项，并在资金流恢复后确认净流入。</w:t>
      </w:r>
    </w:p>
    <w:p>
      <w:pPr>
        <w:numPr>
          <w:ilvl w:val="0"/>
          <w:numId w:val="1034"/>
        </w:numPr>
        <w:pStyle w:val="Compact"/>
      </w:pPr>
      <w:r>
        <w:t xml:space="preserve">🚫 回避方向：无业绩支撑的高位题材、纯地域概念、仅因公告传闻上涨的标的，以及油价上涨直接抬升成本的航空与部分物流链。</w:t>
      </w:r>
    </w:p>
    <w:p>
      <w:pPr>
        <w:numPr>
          <w:ilvl w:val="0"/>
          <w:numId w:val="1034"/>
        </w:numPr>
        <w:pStyle w:val="Compact"/>
      </w:pPr>
      <w:r>
        <w:t xml:space="preserve">⚠️ 核心风险：中东局势突变、油价反转、海外利率预期抬升、下午待核验政策事件不及预期、关键结构化数据缺失。</w:t>
      </w:r>
    </w:p>
    <w:p>
      <w:r>
        <w:pict>
          <v:rect style="width:0;height:1.5pt" o:hralign="center" o:hrstd="t" o:hr="t"/>
        </w:pict>
      </w:r>
    </w:p>
    <w:p>
      <w:pPr>
        <w:pStyle w:val="BlockText"/>
      </w:pPr>
      <w:r>
        <w:t xml:space="preserve">📊 生成时间：2026-09-10 08:30（北京时间，Asia/Shanghai）</w:t>
      </w:r>
      <w:r>
        <w:t xml:space="preserve"> </w:t>
      </w:r>
      <w:r>
        <w:t xml:space="preserve">🔮 by：先知 v1.0.3 — 周先生出品</w:t>
      </w:r>
      <w:r>
        <w:t xml:space="preserve"> </w:t>
      </w:r>
      <w:r>
        <w:t xml:space="preserve">🔵 数据采集模型：local-python</w:t>
      </w:r>
      <w:r>
        <w:t xml:space="preserve"> </w:t>
      </w:r>
      <w:r>
        <w:t xml:space="preserve">🔴 分析+写稿模型：hermes</w:t>
      </w:r>
      <w:r>
        <w:t xml:space="preserve"> </w:t>
      </w:r>
      <w:r>
        <w:t xml:space="preserve">📄 文档生成：pandoc (markdown → docx)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2026-09-10T00:40:28Z</dcterms:created>
  <dcterms:modified xsi:type="dcterms:W3CDTF">2026-09-10T00:40:28Z</dcterms:modified>
</cp:coreProperties>
</file>

<file path=docProps/custom.xml><?xml version="1.0" encoding="utf-8"?>
<Properties xmlns="http://schemas.openxmlformats.org/officeDocument/2006/custom-properties" xmlns:vt="http://schemas.openxmlformats.org/officeDocument/2006/docPropsVTypes"/>
</file>