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午盘总结-2026-09-10周四"/>
      <w:r>
        <w:t xml:space="preserve">🕐 午盘总结 | 2026-09-10（周四）</w:t>
      </w:r>
      <w:bookmarkEnd w:id="20"/>
    </w:p>
    <w:p>
      <w:pPr>
        <w:pStyle w:val="Heading2"/>
      </w:pPr>
      <w:bookmarkStart w:id="21" w:name="数据质量说明"/>
      <w:r>
        <w:t xml:space="preserve">⚠️ 数据质量说明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📊 本轮关键源覆盖 2/7（28.57%）：指数与全市场成交额可用；涨跌家数、资金流、板块表现、活跃个股、涨跌停样本均不可用。</w:t>
      </w:r>
    </w:p>
    <w:p>
      <w:pPr>
        <w:numPr>
          <w:ilvl w:val="0"/>
          <w:numId w:val="1001"/>
        </w:numPr>
        <w:pStyle w:val="Compact"/>
      </w:pPr>
      <w:r>
        <w:t xml:space="preserve">✅ 上证指数、深证成指、创业板指、科创50、沪深300均经新浪、东方财富、腾讯三源校验，点位与涨跌幅一致。</w:t>
      </w:r>
    </w:p>
    <w:p>
      <w:pPr>
        <w:numPr>
          <w:ilvl w:val="0"/>
          <w:numId w:val="1001"/>
        </w:numPr>
        <w:pStyle w:val="Compact"/>
      </w:pPr>
      <w:r>
        <w:t xml:space="preserve">💰 全市场成交额仅同花顺单源可用，午间累计11020.11亿元；</w:t>
      </w:r>
      <w:r>
        <w:rPr>
          <w:rStyle w:val="VerbatimChar"/>
        </w:rPr>
        <w:t xml:space="preserve">turnover_comparison_scope=unverified</w:t>
      </w:r>
      <w:r>
        <w:t xml:space="preserve">，因此不引用成交额变化比例，也不把昨日全天18730.67亿元与今日半日成交额直接比较。</w:t>
      </w:r>
    </w:p>
    <w:p>
      <w:pPr>
        <w:numPr>
          <w:ilvl w:val="0"/>
          <w:numId w:val="1001"/>
        </w:numPr>
        <w:pStyle w:val="Compact"/>
      </w:pPr>
      <w:r>
        <w:t xml:space="preserve">🚫 东方财富资金流、板块、活跃股、涨跌停及核心个股交叉行情接口均返回HTTP 502；同花顺涨跌分布请求超时。相关榜单和市场广度统一降级为</w:t>
      </w:r>
      <w:r>
        <w:t xml:space="preserve">“</w:t>
      </w:r>
      <w:r>
        <w:t xml:space="preserve">未核验</w:t>
      </w:r>
      <w:r>
        <w:t xml:space="preserve">”</w:t>
      </w:r>
      <w:r>
        <w:t xml:space="preserve">。</w:t>
      </w:r>
    </w:p>
    <w:p>
      <w:pPr>
        <w:numPr>
          <w:ilvl w:val="0"/>
          <w:numId w:val="1001"/>
        </w:numPr>
        <w:pStyle w:val="Compact"/>
      </w:pPr>
      <w:r>
        <w:t xml:space="preserve">⚠️ 华泰数据可作为补充线索，但其板块文字与个股数据没有获得本地结构化行情交叉验证，不作为唯一强结论。</w:t>
      </w:r>
      <w:r>
        <w:rPr>
          <w:rStyle w:val="VerbatimChar"/>
        </w:rPr>
        <w:t xml:space="preserve">derived.market_style</w:t>
      </w:r>
      <w:r>
        <w:t xml:space="preserve">为</w:t>
      </w:r>
      <w:r>
        <w:t xml:space="preserve">“</w:t>
      </w:r>
      <w:r>
        <w:t xml:space="preserve">证据不足/未核验</w:t>
      </w:r>
      <w:r>
        <w:t xml:space="preserve">”</w:t>
      </w:r>
      <w:r>
        <w:t xml:space="preserve">，仓位模型各档位均为null。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上午行情概览"/>
      <w:r>
        <w:t xml:space="preserve">📊 上午行情概览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📉 上证指数报3937.7793点，跌0.3474%；盘中高点3949.2549点、低点3927.3472点。</w:t>
      </w:r>
    </w:p>
    <w:p>
      <w:pPr>
        <w:numPr>
          <w:ilvl w:val="0"/>
          <w:numId w:val="1002"/>
        </w:numPr>
        <w:pStyle w:val="Compact"/>
      </w:pPr>
      <w:r>
        <w:t xml:space="preserve">📉 深证成指报13647.488点，跌0.5526%；盘中高点13713.875点、低点13585.598点。</w:t>
      </w:r>
    </w:p>
    <w:p>
      <w:pPr>
        <w:numPr>
          <w:ilvl w:val="0"/>
          <w:numId w:val="1002"/>
        </w:numPr>
        <w:pStyle w:val="Compact"/>
      </w:pPr>
      <w:r>
        <w:t xml:space="preserve">📉 创业板指报3350.075点，跌0.1459%；盘中高点3368.733点、低点3308.705点。</w:t>
      </w:r>
    </w:p>
    <w:p>
      <w:pPr>
        <w:numPr>
          <w:ilvl w:val="0"/>
          <w:numId w:val="1002"/>
        </w:numPr>
        <w:pStyle w:val="Compact"/>
      </w:pPr>
      <w:r>
        <w:t xml:space="preserve">📉 科创50报1573.2911点，跌0.4283%；沪深300报4553.5229点，跌0.4172%。</w:t>
      </w:r>
    </w:p>
    <w:p>
      <w:pPr>
        <w:numPr>
          <w:ilvl w:val="0"/>
          <w:numId w:val="1002"/>
        </w:numPr>
        <w:pStyle w:val="Compact"/>
      </w:pPr>
      <w:r>
        <w:t xml:space="preserve">💰 同花顺单源显示全市场午间累计成交额11020.11亿元，预测全天成交额16916.03亿元；预测值只作参考，不视为已实现成交额。</w:t>
      </w:r>
    </w:p>
    <w:p>
      <w:pPr>
        <w:numPr>
          <w:ilvl w:val="0"/>
          <w:numId w:val="1002"/>
        </w:numPr>
        <w:pStyle w:val="Compact"/>
      </w:pPr>
      <w:r>
        <w:t xml:space="preserve">🚫 涨跌家数、涨停数、跌停数均未核验，不能据华泰文字中的估算替代顶层缺失数据。</w:t>
      </w:r>
    </w:p>
    <w:p>
      <w:pPr>
        <w:numPr>
          <w:ilvl w:val="0"/>
          <w:numId w:val="1002"/>
        </w:numPr>
        <w:pStyle w:val="Compact"/>
      </w:pPr>
      <w:r>
        <w:t xml:space="preserve">🎭 一句话盘面：五项核心指数全部收跌，创业板相对抗跌，但赚钱效应和市场风格缺少可用广度数据，不能据指数表现直接认定</w:t>
      </w:r>
      <w:r>
        <w:t xml:space="preserve">“</w:t>
      </w:r>
      <w:r>
        <w:t xml:space="preserve">个股普跌</w:t>
      </w:r>
      <w:r>
        <w:t xml:space="preserve">”</w:t>
      </w:r>
      <w:r>
        <w:t xml:space="preserve">或风格切换完成。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领涨板块-top10-与龙头线索"/>
      <w:r>
        <w:t xml:space="preserve">🔥 领涨板块 TOP10 与龙头线索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🚫 领涨板块TOP10未核验：</w:t>
      </w:r>
      <w:r>
        <w:rPr>
          <w:rStyle w:val="VerbatimChar"/>
        </w:rPr>
        <w:t xml:space="preserve">sector_performance.ok=false</w:t>
      </w:r>
      <w:r>
        <w:t xml:space="preserve">，不存在可引用的结构化板块涨幅榜。</w:t>
      </w:r>
    </w:p>
    <w:p>
      <w:pPr>
        <w:numPr>
          <w:ilvl w:val="0"/>
          <w:numId w:val="1003"/>
        </w:numPr>
        <w:pStyle w:val="Compact"/>
      </w:pPr>
      <w:r>
        <w:t xml:space="preserve">🚫 龙头股TOP榜未核验：</w:t>
      </w:r>
      <w:r>
        <w:rPr>
          <w:rStyle w:val="VerbatimChar"/>
        </w:rPr>
        <w:t xml:space="preserve">active_stocks.ok=false</w:t>
      </w:r>
      <w:r>
        <w:t xml:space="preserve">、</w:t>
      </w:r>
      <w:r>
        <w:rPr>
          <w:rStyle w:val="VerbatimChar"/>
        </w:rPr>
        <w:t xml:space="preserve">limit_stocks.ok=false</w:t>
      </w:r>
      <w:r>
        <w:t xml:space="preserve">，不能补写真实涨停数量、封单或成交额排行。</w:t>
      </w:r>
    </w:p>
    <w:p>
      <w:pPr>
        <w:numPr>
          <w:ilvl w:val="0"/>
          <w:numId w:val="1003"/>
        </w:numPr>
        <w:pStyle w:val="Compact"/>
      </w:pPr>
      <w:r>
        <w:t xml:space="preserve">📌 华泰单源补充线索显示，银行、算电协同/电力、PCB、玻纤及油气等方向上午相对活跃；该信息只用于午后观察池，不等同于经多源确认的TOP10榜单。</w:t>
      </w:r>
    </w:p>
    <w:p>
      <w:pPr>
        <w:numPr>
          <w:ilvl w:val="0"/>
          <w:numId w:val="1003"/>
        </w:numPr>
        <w:pStyle w:val="Compact"/>
      </w:pPr>
      <w:r>
        <w:t xml:space="preserve">🔥 华泰选股结构化样本中：水发燃气603318报10.35元、涨9.99%、主力净流入3.18亿元、换手22.48%；超声电子000823报18.70元、涨10.00%、主力净流入2.30亿元、换手17.10%。</w:t>
      </w:r>
    </w:p>
    <w:p>
      <w:pPr>
        <w:numPr>
          <w:ilvl w:val="0"/>
          <w:numId w:val="1003"/>
        </w:numPr>
        <w:pStyle w:val="Compact"/>
      </w:pPr>
      <w:r>
        <w:t xml:space="preserve">⚠️ 上述两只个股未通过</w:t>
      </w:r>
      <w:r>
        <w:rPr>
          <w:rStyle w:val="VerbatimChar"/>
        </w:rPr>
        <w:t xml:space="preserve">stock_quote_cross_checks</w:t>
      </w:r>
      <w:r>
        <w:t xml:space="preserve">校验，只能作为高辨识度观察样本；午后若开板、跌破均价或板块无扩散，不应追高。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资金流向"/>
      <w:r>
        <w:t xml:space="preserve">💰 资金流向</w:t>
      </w:r>
      <w:bookmarkEnd w:id="24"/>
    </w:p>
    <w:p>
      <w:pPr>
        <w:pStyle w:val="Heading3"/>
      </w:pPr>
      <w:bookmarkStart w:id="25" w:name="主力净流入-top10"/>
      <w:r>
        <w:t xml:space="preserve">📈 主力净流入 TOP10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🚫 未核验。</w:t>
      </w:r>
      <w:r>
        <w:rPr>
          <w:rStyle w:val="VerbatimChar"/>
        </w:rPr>
        <w:t xml:space="preserve">money_flow.ok=false</w:t>
      </w:r>
      <w:r>
        <w:t xml:space="preserve">，采集JSON没有可用的全市场主力净流入TOP10榜单，禁止用搜索结果或华泰文本分析补齐。</w:t>
      </w:r>
    </w:p>
    <w:p>
      <w:pPr>
        <w:numPr>
          <w:ilvl w:val="0"/>
          <w:numId w:val="1004"/>
        </w:numPr>
        <w:pStyle w:val="Compact"/>
      </w:pPr>
      <w:r>
        <w:t xml:space="preserve">📌 可确认的仅是华泰</w:t>
      </w:r>
      <w:r>
        <w:rPr>
          <w:rStyle w:val="VerbatimChar"/>
        </w:rPr>
        <w:t xml:space="preserve">select_stock</w:t>
      </w:r>
      <w:r>
        <w:t xml:space="preserve">筛选样本，不代表全市场资金流入TOP10：N电科思301689净流入10.32亿元，水发燃气603318净流入3.18亿元，津药药业600488净流入2.89亿元，超声电子000823净流入2.30亿元，新力金融600318净流入1.51亿元，金煤科技600844净流入8541.79万元，青龙管业002457净流入7603.66万元，沃特股份002886净流入7558.70万元，泰金新能688813净流入7507.78万元，万讯自控300112净流入5540.70万元。</w:t>
      </w:r>
    </w:p>
    <w:p>
      <w:pPr>
        <w:pStyle w:val="Heading3"/>
      </w:pPr>
      <w:bookmarkStart w:id="26" w:name="主力净流出-top10"/>
      <w:r>
        <w:t xml:space="preserve">📉 主力净流出 TOP10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🚫 未核验。</w:t>
      </w:r>
      <w:r>
        <w:rPr>
          <w:rStyle w:val="VerbatimChar"/>
        </w:rPr>
        <w:t xml:space="preserve">money_flow.ok=false</w:t>
      </w:r>
      <w:r>
        <w:t xml:space="preserve">，采集JSON没有真实流出TOP10，不能将弱势板块或下跌个股反推为资金流出榜。</w:t>
      </w:r>
    </w:p>
    <w:p>
      <w:pPr>
        <w:pStyle w:val="Heading3"/>
      </w:pPr>
      <w:bookmarkStart w:id="27" w:name="资金信号解读"/>
      <w:r>
        <w:t xml:space="preserve">⚠️ 资金信号解读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📊 由于全市场资金榜缺失，无法确认银行、PCB、电力、油气的资金持续性，也无法确认CRO、折叠屏、光通信或半导体是否属于主力集中撤退。</w:t>
      </w:r>
    </w:p>
    <w:p>
      <w:pPr>
        <w:numPr>
          <w:ilvl w:val="0"/>
          <w:numId w:val="1006"/>
        </w:numPr>
        <w:pStyle w:val="Compact"/>
      </w:pPr>
      <w:r>
        <w:t xml:space="preserve">💡 午后只把华泰样本用于盘中验证：必须观察板块扩散、龙头承接和成交延续，不能把单只股票净流入直接外推为行业主线。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资金流出预警"/>
      <w:r>
        <w:t xml:space="preserve">⚠️ 资金流出预警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🚫 重点流出板块及金额未核验，无法把上午回落定性为高位退潮、获利兑现、轮动或事件冲击。</w:t>
      </w:r>
    </w:p>
    <w:p>
      <w:pPr>
        <w:numPr>
          <w:ilvl w:val="0"/>
          <w:numId w:val="1007"/>
        </w:numPr>
        <w:pStyle w:val="Compact"/>
      </w:pPr>
      <w:r>
        <w:t xml:space="preserve">📉 华泰单源文字提示医药CRO、折叠屏偏弱，光通信与半导体承压；其中风语筑603466午间跌4.73%，说明成长与题材方向至少存在局部分歧。</w:t>
      </w:r>
    </w:p>
    <w:p>
      <w:pPr>
        <w:numPr>
          <w:ilvl w:val="0"/>
          <w:numId w:val="1007"/>
        </w:numPr>
        <w:pStyle w:val="Compact"/>
      </w:pPr>
      <w:r>
        <w:t xml:space="preserve">⚠️ 午后风险确认条件：弱势方向继续放量下跌、反抽不能收复上午均价，或高辨识度个股开板后无回封。由于成交和资金结构未核验，只能执行价格条件，不能预判资金性质。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盘前预判-vs-上午实盘"/>
      <w:r>
        <w:t xml:space="preserve">🎯 盘前预判 vs 上午实盘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✅ 命中一：盘前判断</w:t>
      </w:r>
      <w:r>
        <w:t xml:space="preserve">“</w:t>
      </w:r>
      <w:r>
        <w:t xml:space="preserve">震荡偏弱、防御占优</w:t>
      </w:r>
      <w:r>
        <w:t xml:space="preserve">”</w:t>
      </w:r>
      <w:r>
        <w:t xml:space="preserve">，上午五项核心指数全部收跌；华泰补充线索显示银行活跃，工商银行上涨0.75%，与防御预案一致。</w:t>
      </w:r>
    </w:p>
    <w:p>
      <w:pPr>
        <w:numPr>
          <w:ilvl w:val="0"/>
          <w:numId w:val="1008"/>
        </w:numPr>
        <w:pStyle w:val="Compact"/>
      </w:pPr>
      <w:r>
        <w:t xml:space="preserve">✅ 命中二：盘前将油气—油服—油运列为事件驱动观察方向。华泰样本中水发燃气涨9.99%、净流入3.18亿元，油气方向出现个股验证，但板块资金与涨幅榜缺失，尚不能确认全面扩散。</w:t>
      </w:r>
    </w:p>
    <w:p>
      <w:pPr>
        <w:numPr>
          <w:ilvl w:val="0"/>
          <w:numId w:val="1008"/>
        </w:numPr>
        <w:pStyle w:val="Compact"/>
      </w:pPr>
      <w:r>
        <w:t xml:space="preserve">🟡 部分命中：盘前关注服务贸易—AI应用—数字基础设施，上午PCB出现超声电子涨10.00%的硬件线索，但风语筑下跌4.73%，说明科技内部明显分化，原预判不能上调为统一主线。</w:t>
      </w:r>
    </w:p>
    <w:p>
      <w:pPr>
        <w:numPr>
          <w:ilvl w:val="0"/>
          <w:numId w:val="1008"/>
        </w:numPr>
        <w:pStyle w:val="Compact"/>
      </w:pPr>
      <w:r>
        <w:t xml:space="preserve">⚠️ 偏差点：盘前给出的确定仓位上限不适用于本轮午盘。顶层</w:t>
      </w:r>
      <w:r>
        <w:rPr>
          <w:rStyle w:val="VerbatimChar"/>
        </w:rPr>
        <w:t xml:space="preserve">derived.position_model</w:t>
      </w:r>
      <w:r>
        <w:t xml:space="preserve">因独立事实组不足全部为null，午后只能按条件控制风险，不能宣称存在高置信度仓位模型。</w:t>
      </w:r>
    </w:p>
    <w:p>
      <w:pPr>
        <w:numPr>
          <w:ilvl w:val="0"/>
          <w:numId w:val="1008"/>
        </w:numPr>
        <w:pStyle w:val="Compact"/>
      </w:pPr>
      <w:r>
        <w:t xml:space="preserve">🚫 无法复核项：资金流TOP10、涨跌比、涨跌停扩散和板块TOP10均缺失，盘前关于</w:t>
      </w:r>
      <w:r>
        <w:t xml:space="preserve">“</w:t>
      </w:r>
      <w:r>
        <w:t xml:space="preserve">等待资金确认</w:t>
      </w:r>
      <w:r>
        <w:t xml:space="preserve">”</w:t>
      </w:r>
      <w:r>
        <w:t xml:space="preserve">的条件尚未满足。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华泰自选股观察"/>
      <w:r>
        <w:t xml:space="preserve">🧾 华泰自选股观察</w:t>
      </w:r>
      <w:bookmarkEnd w:id="30"/>
    </w:p>
    <w:p>
      <w:pPr>
        <w:pStyle w:val="FirstParagraph"/>
      </w:pPr>
      <w:r>
        <w:t xml:space="preserve">自选股共3只，3只均取得华泰午间报价。工商银行与上午防御线索共振；弘元绿能和风语筑均下跌，且缺少板块资金、成交及三源个股行情校验。后两只以跟踪为主、暂不作为主攻方向。</w:t>
      </w:r>
    </w:p>
    <w:p>
      <w:pPr>
        <w:numPr>
          <w:ilvl w:val="0"/>
          <w:numId w:val="1009"/>
        </w:numPr>
        <w:pStyle w:val="Compact"/>
      </w:pPr>
      <w:r>
        <w:t xml:space="preserve">📉 603185 弘元绿能：最新价14.59元，跌1.42%，买一14.59元、卖一14.60元，未停牌。所属光伏硅料/硅片方向，与银行、油气、PCB及算电协同等上午线索无明显共振。结论：偏弱、继续观察；午后只有收复前收14.80元且光伏板块同步转强，才可低吸跟踪，未收复前不加仓。</w:t>
      </w:r>
    </w:p>
    <w:p>
      <w:pPr>
        <w:numPr>
          <w:ilvl w:val="0"/>
          <w:numId w:val="1009"/>
        </w:numPr>
        <w:pStyle w:val="Compact"/>
      </w:pPr>
      <w:r>
        <w:t xml:space="preserve">📉 603466 风语筑：最新价12.30元，跌4.73%，买一12.30元、卖一12.31元，未停牌。所属数字展示、文化科技和AI应用方向，与盘前服务贸易—AI应用逻辑有题材关系，但价格表现未共振。结论：偏弱、不追高；以跟踪为主、暂不作为主攻方向，午后需先收复前收12.91元并获得板块扩散确认。</w:t>
      </w:r>
    </w:p>
    <w:p>
      <w:pPr>
        <w:numPr>
          <w:ilvl w:val="0"/>
          <w:numId w:val="1009"/>
        </w:numPr>
        <w:pStyle w:val="Compact"/>
      </w:pPr>
      <w:r>
        <w:t xml:space="preserve">📈 601398 工商银行：最新价8.06元，涨0.75%，买一8.05元、卖一8.06元，未停牌。所属银行与高股息防御方向，与上午银行活跃线索共振。结论：偏强、可继续观察；已有仓位以持有为主，午后若跌回前收8.00元下方且不能收复则转谨慎，不在加速段追高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下午投资方向分层"/>
      <w:r>
        <w:t xml:space="preserve">🎯 下午投资方向分层</w:t>
      </w:r>
      <w:bookmarkEnd w:id="31"/>
    </w:p>
    <w:p>
      <w:pPr>
        <w:pStyle w:val="Heading3"/>
      </w:pPr>
      <w:bookmarkStart w:id="32" w:name="可参与银行高股息防御优先级中限回踩"/>
      <w:r>
        <w:t xml:space="preserve">🚀 可参与：银行—高股息防御（优先级：中，限回踩）</w:t>
      </w:r>
      <w:bookmarkEnd w:id="32"/>
    </w:p>
    <w:p>
      <w:pPr>
        <w:numPr>
          <w:ilvl w:val="0"/>
          <w:numId w:val="1010"/>
        </w:numPr>
        <w:pStyle w:val="Compact"/>
      </w:pPr>
      <w:r>
        <w:t xml:space="preserve">📌 证据链：五项核心指数均下跌；华泰午间文字显示银行相对活跃；工商银行结构化报价8.06元、涨0.75%，与防御方向共振。板块涨幅、成交额和资金净流入仍未核验，因此优先级不升至</w:t>
      </w:r>
      <w:r>
        <w:t xml:space="preserve">“</w:t>
      </w:r>
      <w:r>
        <w:t xml:space="preserve">高</w:t>
      </w:r>
      <w:r>
        <w:t xml:space="preserve">”</w:t>
      </w:r>
      <w:r>
        <w:t xml:space="preserve">。</w:t>
      </w:r>
    </w:p>
    <w:p>
      <w:pPr>
        <w:numPr>
          <w:ilvl w:val="0"/>
          <w:numId w:val="1010"/>
        </w:numPr>
        <w:pStyle w:val="Compact"/>
      </w:pPr>
      <w:r>
        <w:t xml:space="preserve">🔥 核心标的：工商银行601398（自选股中唯一与防御线索共振且上涨的样本）；南京银行、江苏银行、杭州银行仅来自华泰文字线索，具体报价未核验。</w:t>
      </w:r>
    </w:p>
    <w:p>
      <w:pPr>
        <w:numPr>
          <w:ilvl w:val="0"/>
          <w:numId w:val="1010"/>
        </w:numPr>
        <w:pStyle w:val="Compact"/>
      </w:pPr>
      <w:r>
        <w:t xml:space="preserve">💡 参与策略：激进者仅在工商银行守住8.00元且银行股继续扩散时小仓回踩参与；稳健者持有已有防御仓，不新增集中暴露；保守者等待板块资金榜恢复后再决策。</w:t>
      </w:r>
    </w:p>
    <w:p>
      <w:pPr>
        <w:numPr>
          <w:ilvl w:val="0"/>
          <w:numId w:val="1010"/>
        </w:numPr>
        <w:pStyle w:val="Compact"/>
      </w:pPr>
      <w:r>
        <w:t xml:space="preserve">✅ 触发条件：工商银行稳于8.00元、银行同业没有冲高回落、沪深300相对创业板不继续明显走弱。</w:t>
      </w:r>
    </w:p>
    <w:p>
      <w:pPr>
        <w:numPr>
          <w:ilvl w:val="0"/>
          <w:numId w:val="1010"/>
        </w:numPr>
        <w:pStyle w:val="Compact"/>
      </w:pPr>
      <w:r>
        <w:t xml:space="preserve">🚫 失效条件：工商银行跌破8.00元后不能收回，或银行板块出现同步放量回落。</w:t>
      </w:r>
    </w:p>
    <w:p>
      <w:pPr>
        <w:numPr>
          <w:ilvl w:val="0"/>
          <w:numId w:val="1010"/>
        </w:numPr>
        <w:pStyle w:val="Compact"/>
      </w:pPr>
      <w:r>
        <w:t xml:space="preserve">⚠️ 风险：高股息拥挤、净息差压力、午间板块数据仅华泰单源。</w:t>
      </w:r>
    </w:p>
    <w:p>
      <w:pPr>
        <w:pStyle w:val="Heading3"/>
      </w:pPr>
      <w:bookmarkStart w:id="33" w:name="可参与油气燃气事件驱动优先级观察性参与"/>
      <w:r>
        <w:t xml:space="preserve">🚀 可参与：油气—燃气事件驱动（优先级：观察性参与）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📌 证据链：盘前已确认地缘与能源供应风险；华泰结构化样本显示水发燃气报10.35元、涨9.99%、净流入3.18亿元、换手22.48%；但板块TOP10、成交额与涨停扩散未核验。</w:t>
      </w:r>
    </w:p>
    <w:p>
      <w:pPr>
        <w:numPr>
          <w:ilvl w:val="0"/>
          <w:numId w:val="1011"/>
        </w:numPr>
        <w:pStyle w:val="Compact"/>
      </w:pPr>
      <w:r>
        <w:t xml:space="preserve">🔥 核心标的：水发燃气603318（华泰样本中涨幅、净流入和换手同时较高）；中国海油、中曼石油、招商轮船沿用盘前观察池，但午间精确行情未核验。</w:t>
      </w:r>
    </w:p>
    <w:p>
      <w:pPr>
        <w:numPr>
          <w:ilvl w:val="0"/>
          <w:numId w:val="1011"/>
        </w:numPr>
        <w:pStyle w:val="Compact"/>
      </w:pPr>
      <w:r>
        <w:t xml:space="preserve">💡 参与策略：激进者只做龙头分歧后的承接，不做一致性追涨；稳健者等待板块内至少两只核心票同步走强；保守者继续观察事件与油价，不开新仓。</w:t>
      </w:r>
    </w:p>
    <w:p>
      <w:pPr>
        <w:numPr>
          <w:ilvl w:val="0"/>
          <w:numId w:val="1011"/>
        </w:numPr>
        <w:pStyle w:val="Compact"/>
      </w:pPr>
      <w:r>
        <w:t xml:space="preserve">✅ 触发条件：水发燃气不出现开板急跌、油气或油运出现明确扩散、板块资金恢复后仍为净流入。</w:t>
      </w:r>
    </w:p>
    <w:p>
      <w:pPr>
        <w:numPr>
          <w:ilvl w:val="0"/>
          <w:numId w:val="1011"/>
        </w:numPr>
        <w:pStyle w:val="Compact"/>
      </w:pPr>
      <w:r>
        <w:t xml:space="preserve">🚫 失效条件：水发燃气开板后不能回封、事件降温、能源价格转弱或板块无跟随。</w:t>
      </w:r>
    </w:p>
    <w:p>
      <w:pPr>
        <w:numPr>
          <w:ilvl w:val="0"/>
          <w:numId w:val="1011"/>
        </w:numPr>
        <w:pStyle w:val="Compact"/>
      </w:pPr>
      <w:r>
        <w:t xml:space="preserve">⚠️ 风险：事件脉冲快速兑现、涨停附近流动性风险、个股行情缺少三源校验。</w:t>
      </w:r>
    </w:p>
    <w:p>
      <w:pPr>
        <w:pStyle w:val="Heading3"/>
      </w:pPr>
      <w:bookmarkStart w:id="34" w:name="只观察pcb电子材料优先级观察"/>
      <w:r>
        <w:t xml:space="preserve">👀 只观察：PCB—电子材料（优先级：观察）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📌 证据链：华泰文字显示PCB活跃；超声电子报18.70元、涨10.00%、净流入2.30亿元、换手17.10%；但本地板块表现、成交额、涨停样本和核心股交叉行情全部缺失。</w:t>
      </w:r>
    </w:p>
    <w:p>
      <w:pPr>
        <w:numPr>
          <w:ilvl w:val="0"/>
          <w:numId w:val="1012"/>
        </w:numPr>
        <w:pStyle w:val="Compact"/>
      </w:pPr>
      <w:r>
        <w:t xml:space="preserve">🔥 核心标的：超声电子000823（华泰高辨识度样本）；沃特股份002886报26.42元、涨1.58%、净流入7558.70万元、换手20.20%，仅作电子材料侧观察。</w:t>
      </w:r>
    </w:p>
    <w:p>
      <w:pPr>
        <w:numPr>
          <w:ilvl w:val="0"/>
          <w:numId w:val="1012"/>
        </w:numPr>
        <w:pStyle w:val="Compact"/>
      </w:pPr>
      <w:r>
        <w:t xml:space="preserve">💡 参与策略：激进者也不追封板样本；稳健与保守者等待午后回封质量、板块扩散和资金榜恢复。</w:t>
      </w:r>
    </w:p>
    <w:p>
      <w:pPr>
        <w:numPr>
          <w:ilvl w:val="0"/>
          <w:numId w:val="1012"/>
        </w:numPr>
        <w:pStyle w:val="Compact"/>
      </w:pPr>
      <w:r>
        <w:t xml:space="preserve">✅ 触发条件：超声电子封板稳定、至少两只同方向个股同步增强、板块成交放大且净流入得到结构化确认。</w:t>
      </w:r>
    </w:p>
    <w:p>
      <w:pPr>
        <w:numPr>
          <w:ilvl w:val="0"/>
          <w:numId w:val="1012"/>
        </w:numPr>
        <w:pStyle w:val="Compact"/>
      </w:pPr>
      <w:r>
        <w:t xml:space="preserve">🚫 失效条件：超声电子开板走弱、板块仅剩单票表现、净流入转负。</w:t>
      </w:r>
    </w:p>
    <w:p>
      <w:pPr>
        <w:numPr>
          <w:ilvl w:val="0"/>
          <w:numId w:val="1012"/>
        </w:numPr>
        <w:pStyle w:val="Compact"/>
      </w:pPr>
      <w:r>
        <w:t xml:space="preserve">⚠️ 风险：高位兑现、科技内部轮动、单源数据偏差。</w:t>
      </w:r>
    </w:p>
    <w:p>
      <w:pPr>
        <w:pStyle w:val="Heading3"/>
      </w:pPr>
      <w:bookmarkStart w:id="35" w:name="应回避弱势题材与无验证追涨"/>
      <w:r>
        <w:t xml:space="preserve">🚫 应回避：弱势题材与无验证追涨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📉 华泰文字提示医药CRO、折叠屏偏弱；风语筑跌4.73%，表明部分AI应用/文化科技标的未与盘前逻辑共振。</w:t>
      </w:r>
    </w:p>
    <w:p>
      <w:pPr>
        <w:numPr>
          <w:ilvl w:val="0"/>
          <w:numId w:val="1013"/>
        </w:numPr>
        <w:pStyle w:val="Compact"/>
      </w:pPr>
      <w:r>
        <w:t xml:space="preserve">💡 午后不参与缺少资金、成交和板块扩散确认的高位题材；不把N电科思301689上涨227.44%的新股样本视为可复制方向。</w:t>
      </w:r>
    </w:p>
    <w:p>
      <w:pPr>
        <w:numPr>
          <w:ilvl w:val="0"/>
          <w:numId w:val="1013"/>
        </w:numPr>
        <w:pStyle w:val="Compact"/>
      </w:pPr>
      <w:r>
        <w:t xml:space="preserve">🚫 失效条件：若弱势方向放量收复上午均价并出现多股联动，可由</w:t>
      </w:r>
      <w:r>
        <w:t xml:space="preserve">“</w:t>
      </w:r>
      <w:r>
        <w:t xml:space="preserve">回避</w:t>
      </w:r>
      <w:r>
        <w:t xml:space="preserve">”</w:t>
      </w:r>
      <w:r>
        <w:t xml:space="preserve">降为</w:t>
      </w:r>
      <w:r>
        <w:t xml:space="preserve">“</w:t>
      </w:r>
      <w:r>
        <w:t xml:space="preserve">观察</w:t>
      </w:r>
      <w:r>
        <w:t xml:space="preserve">”</w:t>
      </w:r>
      <w:r>
        <w:t xml:space="preserve">；在此之前不抄底。</w:t>
      </w:r>
    </w:p>
    <w:p>
      <w:pPr>
        <w:numPr>
          <w:ilvl w:val="0"/>
          <w:numId w:val="1013"/>
        </w:numPr>
        <w:pStyle w:val="Compact"/>
      </w:pPr>
      <w:r>
        <w:t xml:space="preserve">⚠️ 风险：新股高波动、题材退潮、流动性快速收缩。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6" w:name="下午盘操作建议"/>
      <w:r>
        <w:t xml:space="preserve">🎯 下午盘操作建议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🎭 市场判断：指数弱震荡已获三源确认，但涨跌家数、涨跌停和资金榜缺失，市场风格只能标记</w:t>
      </w:r>
      <w:r>
        <w:t xml:space="preserve">“</w:t>
      </w:r>
      <w:r>
        <w:t xml:space="preserve">证据不足/未核验</w:t>
      </w:r>
      <w:r>
        <w:t xml:space="preserve">”</w:t>
      </w:r>
      <w:r>
        <w:t xml:space="preserve">。</w:t>
      </w:r>
    </w:p>
    <w:p>
      <w:pPr>
        <w:numPr>
          <w:ilvl w:val="0"/>
          <w:numId w:val="1014"/>
        </w:numPr>
        <w:pStyle w:val="Compact"/>
      </w:pPr>
      <w:r>
        <w:t xml:space="preserve">💡 仓位原则：不提供固定百分比。激进者仅保留小仓事件或龙头承接试错；稳健者以已有防御仓为主；保守者等待资金流和市场广度恢复后再提高风险敞口。</w:t>
      </w:r>
    </w:p>
    <w:p>
      <w:pPr>
        <w:numPr>
          <w:ilvl w:val="0"/>
          <w:numId w:val="1014"/>
        </w:numPr>
        <w:pStyle w:val="Compact"/>
      </w:pPr>
      <w:r>
        <w:t xml:space="preserve">🚀 关注顺序：银行—高股息回踩承接 &gt; 油气—燃气事件扩散 &gt; PCB—电子材料封板质量；后两项都不得追一致性高潮。</w:t>
      </w:r>
    </w:p>
    <w:p>
      <w:pPr>
        <w:numPr>
          <w:ilvl w:val="0"/>
          <w:numId w:val="1014"/>
        </w:numPr>
        <w:pStyle w:val="Compact"/>
      </w:pPr>
      <w:r>
        <w:t xml:space="preserve">📉 持仓联动：工商银行偏强持有观察；弘元绿能需先收复14.80元；风语筑需先收复12.91元。农业银行午间行情未采集，不新增基于虚构价格的操作条件。</w:t>
      </w:r>
    </w:p>
    <w:p>
      <w:pPr>
        <w:numPr>
          <w:ilvl w:val="0"/>
          <w:numId w:val="1014"/>
        </w:numPr>
        <w:pStyle w:val="Compact"/>
      </w:pPr>
      <w:r>
        <w:t xml:space="preserve">✅ 加仓前提：至少满足</w:t>
      </w:r>
      <w:r>
        <w:t xml:space="preserve">“</w:t>
      </w:r>
      <w:r>
        <w:t xml:space="preserve">指数止跌、板块扩散、核心标的承接、结构化资金转入</w:t>
      </w:r>
      <w:r>
        <w:t xml:space="preserve">”</w:t>
      </w:r>
      <w:r>
        <w:t xml:space="preserve">中的两项；若资金榜继续缺失，单项信号不能支持扩大仓位。</w:t>
      </w:r>
    </w:p>
    <w:p>
      <w:pPr>
        <w:numPr>
          <w:ilvl w:val="0"/>
          <w:numId w:val="1014"/>
        </w:numPr>
        <w:pStyle w:val="Compact"/>
      </w:pPr>
      <w:r>
        <w:t xml:space="preserve">🚫 回避方向：新股极端波动、开板后无承接的高位股、CRO与折叠屏弱势延续，以及与上午线索不共振的光伏和文化科技个股。</w:t>
      </w:r>
    </w:p>
    <w:p>
      <w:pPr>
        <w:numPr>
          <w:ilvl w:val="0"/>
          <w:numId w:val="1014"/>
        </w:numPr>
        <w:pStyle w:val="Compact"/>
      </w:pPr>
      <w:r>
        <w:t xml:space="preserve">⚠️ 核心风险：关键源覆盖仅28.57%、预测全天成交额未实现、午后事件变化、单源个股数据误差及高位题材兑现。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📊 生成时间：2026-09-10 11:45（北京时间，Asia/Shanghai）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2026-09-10T03:53:45Z</dcterms:created>
  <dcterms:modified xsi:type="dcterms:W3CDTF">2026-09-10T03:53:45Z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