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盘前简报-2026-09-09周三"/>
      <w:r>
        <w:t xml:space="preserve">🌅 盘前简报 | 2026-09-09（周三）</w:t>
      </w:r>
      <w:bookmarkEnd w:id="20"/>
    </w:p>
    <w:p>
      <w:pPr>
        <w:pStyle w:val="BlockText"/>
      </w:pPr>
      <w:r>
        <w:t xml:space="preserve">数据口径：A股行情为 2026-09-08 收盘数据；外盘与商品为采集时点最新数据。关键源覆盖率仅 3/7，资金流、板块表现、活跃个股、涨跌停样本及公告源采集失败，相关结论均作降级处理。</w:t>
      </w:r>
    </w:p>
    <w:p>
      <w:pPr>
        <w:pStyle w:val="Heading2"/>
      </w:pPr>
      <w:bookmarkStart w:id="21" w:name="隔夜全球市场"/>
      <w:r>
        <w:t xml:space="preserve">🌐 隔夜全球市场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📉 美股：华泰补充源显示，道指 -1.18%、纳指 -0.32%、标普500 -0.58%。该组数值未获新浪结构化行情交叉验证，按单源信息使用，主要指向隔夜风险偏好偏弱。</w:t>
      </w:r>
    </w:p>
    <w:p>
      <w:pPr>
        <w:numPr>
          <w:ilvl w:val="0"/>
          <w:numId w:val="1001"/>
        </w:numPr>
        <w:pStyle w:val="Compact"/>
      </w:pPr>
      <w:r>
        <w:t xml:space="preserve">📉 中概股：采集 JSON 未提供可核验的重点中概股行情，未核验，不以个别中概表现推导 A 股开盘方向。</w:t>
      </w:r>
    </w:p>
    <w:p>
      <w:pPr>
        <w:numPr>
          <w:ilvl w:val="0"/>
          <w:numId w:val="1001"/>
        </w:numPr>
        <w:pStyle w:val="Compact"/>
      </w:pPr>
      <w:r>
        <w:t xml:space="preserve">📉 欧洲股市：采集 JSON 未提供欧洲主要指数数据，未核验。</w:t>
      </w:r>
    </w:p>
    <w:p>
      <w:pPr>
        <w:numPr>
          <w:ilvl w:val="0"/>
          <w:numId w:val="1001"/>
        </w:numPr>
        <w:pStyle w:val="Compact"/>
      </w:pPr>
      <w:r>
        <w:t xml:space="preserve">📈 富时中国 A50 期指报 14575.84，涨 0.08%；对 A 股开盘情绪略偏中性正面，但幅度不足以单独形成做多信号。</w:t>
      </w:r>
    </w:p>
    <w:p>
      <w:pPr>
        <w:numPr>
          <w:ilvl w:val="0"/>
          <w:numId w:val="1001"/>
        </w:numPr>
        <w:pStyle w:val="Compact"/>
      </w:pPr>
      <w:r>
        <w:t xml:space="preserve">📉 恒生指数 9 月 8 日收于 25413.119，跌 0.38%；9 月 9 日 08:30 港股尚未开盘，不能写作</w:t>
      </w:r>
      <w:r>
        <w:t xml:space="preserve">“</w:t>
      </w:r>
      <w:r>
        <w:t xml:space="preserve">港股早盘表现</w:t>
      </w:r>
      <w:r>
        <w:t xml:space="preserve">”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💱 美元离岸人民币报 6.7053，变动 -0.01%，汇率扰动有限。</w:t>
      </w:r>
    </w:p>
    <w:p>
      <w:pPr>
        <w:numPr>
          <w:ilvl w:val="0"/>
          <w:numId w:val="1001"/>
        </w:numPr>
        <w:pStyle w:val="Compact"/>
      </w:pPr>
      <w:r>
        <w:t xml:space="preserve">📉 COMEX 黄金报 4389.896，跌 1.11%；📈 WTI 原油报 94.562，涨 1.65%；📉 伦铜报 14682.545，跌 0.18%。油强、金铜偏弱，资源品内部并非一致上涨。</w:t>
      </w:r>
    </w:p>
    <w:p>
      <w:pPr>
        <w:pStyle w:val="FirstParagraph"/>
      </w:pPr>
      <w:r>
        <w:t xml:space="preserve">💡 盘前含义：外盘偏弱与 A50 微涨相互对冲，A 股更可能延续内部结构分化。油气可观察事件驱动，但黄金、有色不能仅凭</w:t>
      </w:r>
      <w:r>
        <w:t xml:space="preserve">“</w:t>
      </w:r>
      <w:r>
        <w:t xml:space="preserve">涨价逻辑</w:t>
      </w:r>
      <w:r>
        <w:t xml:space="preserve">”</w:t>
      </w:r>
      <w:r>
        <w:t xml:space="preserve">集体追高。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新闻联播政策面"/>
      <w:r>
        <w:t xml:space="preserve">📺 新闻联播政策面</w:t>
      </w:r>
      <w:bookmarkEnd w:id="22"/>
    </w:p>
    <w:p>
      <w:pPr>
        <w:pStyle w:val="Heading3"/>
      </w:pPr>
      <w:bookmarkStart w:id="23" w:name="总体分析"/>
      <w:r>
        <w:t xml:space="preserve">📌 总体分析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🔴 政策主线一是服务贸易、数字服务与高水平开放。服贸会今日开幕，数字贸易、出海服务、文化内容与信息服务具备事件催化，但要以开盘资金承接确认强度。</w:t>
      </w:r>
    </w:p>
    <w:p>
      <w:pPr>
        <w:numPr>
          <w:ilvl w:val="0"/>
          <w:numId w:val="1002"/>
        </w:numPr>
        <w:pStyle w:val="Compact"/>
      </w:pPr>
      <w:r>
        <w:t xml:space="preserve">🔴 政策主线二是城市更新。国务院专题学习明确政府投入、重大工程与多元投融资，利好城市更新、建筑建材、地下管网与防灾减灾链条，力度属于方向明确但仍待项目与资金落地验证。</w:t>
      </w:r>
    </w:p>
    <w:p>
      <w:pPr>
        <w:numPr>
          <w:ilvl w:val="0"/>
          <w:numId w:val="1002"/>
        </w:numPr>
        <w:pStyle w:val="Compact"/>
      </w:pPr>
      <w:r>
        <w:t xml:space="preserve">📈 外贸数据与服务出口结构升级共同支持高端制造、汽车、工业机器人、船舶和跨境服务方向；需防范数据利好已被提前交易。</w:t>
      </w:r>
    </w:p>
    <w:p>
      <w:pPr>
        <w:numPr>
          <w:ilvl w:val="0"/>
          <w:numId w:val="1002"/>
        </w:numPr>
        <w:pStyle w:val="Compact"/>
      </w:pPr>
      <w:r>
        <w:t xml:space="preserve">📈 国内联播快讯包含汽车供应商账期规范、知识产权、放心消费、医保扩面、跨境支付与重大工程等多条结构性信号，偏向改善营商环境与民生投资。</w:t>
      </w:r>
    </w:p>
    <w:p>
      <w:pPr>
        <w:numPr>
          <w:ilvl w:val="0"/>
          <w:numId w:val="1002"/>
        </w:numPr>
        <w:pStyle w:val="Compact"/>
      </w:pPr>
      <w:r>
        <w:t xml:space="preserve">⚠️ 加拿大与美国关税冲突、俄乌及中东能源设施冲突抬升贸易与能源价格不确定性；油气可能受益于风险溢价，下游运输和高耗能行业承压。</w:t>
      </w:r>
    </w:p>
    <w:p>
      <w:pPr>
        <w:pStyle w:val="Heading3"/>
      </w:pPr>
      <w:bookmarkStart w:id="24" w:name="逐条新闻解读"/>
      <w:r>
        <w:t xml:space="preserve">📰 逐条新闻解读</w:t>
      </w:r>
      <w:bookmarkEnd w:id="24"/>
    </w:p>
    <w:p>
      <w:pPr>
        <w:pStyle w:val="Heading4"/>
      </w:pPr>
      <w:bookmarkStart w:id="25" w:name="新思想引领新征程我国服务贸易新格局加速成型"/>
      <w:r>
        <w:t xml:space="preserve">【新思想引领新征程】我国服务贸易新格局加速成型</w:t>
      </w:r>
      <w:bookmarkEnd w:id="25"/>
    </w:p>
    <w:p>
      <w:pPr>
        <w:numPr>
          <w:ilvl w:val="0"/>
          <w:numId w:val="1003"/>
        </w:numPr>
        <w:pStyle w:val="Compact"/>
      </w:pPr>
      <w:r>
        <w:t xml:space="preserve">A股影响：偏利好</w:t>
      </w:r>
    </w:p>
    <w:p>
      <w:pPr>
        <w:numPr>
          <w:ilvl w:val="0"/>
          <w:numId w:val="1003"/>
        </w:numPr>
        <w:pStyle w:val="Compact"/>
      </w:pPr>
      <w:r>
        <w:t xml:space="preserve">相关板块：数字贸易、跨境服务、人工智能应用、文化传媒、光储充</w:t>
      </w:r>
    </w:p>
    <w:p>
      <w:pPr>
        <w:numPr>
          <w:ilvl w:val="0"/>
          <w:numId w:val="1003"/>
        </w:numPr>
        <w:pStyle w:val="Compact"/>
      </w:pPr>
      <w:r>
        <w:t xml:space="preserve">核心解读：服务贸易政策组合拳、知识密集型服务出口增长及扩大服务业开放，支持数字服务与</w:t>
      </w:r>
      <w:r>
        <w:t xml:space="preserve">“</w:t>
      </w:r>
      <w:r>
        <w:t xml:space="preserve">中国服务</w:t>
      </w:r>
      <w:r>
        <w:t xml:space="preserve">”</w:t>
      </w:r>
      <w:r>
        <w:t xml:space="preserve">出海；属于中期产业政策与今日服贸会催化共振。</w:t>
      </w:r>
    </w:p>
    <w:p>
      <w:pPr>
        <w:numPr>
          <w:ilvl w:val="0"/>
          <w:numId w:val="1003"/>
        </w:numPr>
        <w:pStyle w:val="Compact"/>
      </w:pPr>
      <w:r>
        <w:t xml:space="preserve">验证条件：数字贸易、传媒或 AI 应用板块开盘放量，且至少有成交核心走强；若仅高开无量、资金快速回落，则事件交易失效。</w:t>
      </w:r>
    </w:p>
    <w:p>
      <w:pPr>
        <w:pStyle w:val="Heading4"/>
      </w:pPr>
      <w:bookmarkStart w:id="26" w:name="李强主持国务院第二十一次专题学习"/>
      <w:r>
        <w:t xml:space="preserve">李强主持国务院第二十一次专题学习</w:t>
      </w:r>
      <w:bookmarkEnd w:id="26"/>
    </w:p>
    <w:p>
      <w:pPr>
        <w:numPr>
          <w:ilvl w:val="0"/>
          <w:numId w:val="1004"/>
        </w:numPr>
        <w:pStyle w:val="Compact"/>
      </w:pPr>
      <w:r>
        <w:t xml:space="preserve">A股影响：偏利好</w:t>
      </w:r>
    </w:p>
    <w:p>
      <w:pPr>
        <w:numPr>
          <w:ilvl w:val="0"/>
          <w:numId w:val="1004"/>
        </w:numPr>
        <w:pStyle w:val="Compact"/>
      </w:pPr>
      <w:r>
        <w:t xml:space="preserve">相关板块：城市更新、建筑建材、地下管网、防灾减灾、城市运营</w:t>
      </w:r>
    </w:p>
    <w:p>
      <w:pPr>
        <w:numPr>
          <w:ilvl w:val="0"/>
          <w:numId w:val="1004"/>
        </w:numPr>
        <w:pStyle w:val="Compact"/>
      </w:pPr>
      <w:r>
        <w:t xml:space="preserve">核心解读：明确加大政府投入、保障要素、推动重大工程和构建多元融资体系，政策方向较清晰；真正强度取决于后续项目清单与资金安排。</w:t>
      </w:r>
    </w:p>
    <w:p>
      <w:pPr>
        <w:numPr>
          <w:ilvl w:val="0"/>
          <w:numId w:val="1004"/>
        </w:numPr>
        <w:pStyle w:val="Compact"/>
      </w:pPr>
      <w:r>
        <w:t xml:space="preserve">验证条件：城市更新链条出现板块性放量而非单股脉冲；若后续缺少项目与融资落地，持续性下降。</w:t>
      </w:r>
    </w:p>
    <w:p>
      <w:pPr>
        <w:pStyle w:val="Heading4"/>
      </w:pPr>
      <w:bookmarkStart w:id="27" w:name="X733f2a1843b4ba09ccd8d554bbd1ec96fb12534"/>
      <w:r>
        <w:t xml:space="preserve">丁薛祥在全国教材工作会议上强调 紧紧围绕立德树人根本任务 加快构建中国特色高质量教材体系</w:t>
      </w:r>
      <w:bookmarkEnd w:id="27"/>
    </w:p>
    <w:p>
      <w:pPr>
        <w:numPr>
          <w:ilvl w:val="0"/>
          <w:numId w:val="1005"/>
        </w:numPr>
        <w:pStyle w:val="Compact"/>
      </w:pPr>
      <w:r>
        <w:t xml:space="preserve">A股影响：中性</w:t>
      </w:r>
    </w:p>
    <w:p>
      <w:pPr>
        <w:numPr>
          <w:ilvl w:val="0"/>
          <w:numId w:val="1005"/>
        </w:numPr>
        <w:pStyle w:val="Compact"/>
      </w:pPr>
      <w:r>
        <w:t xml:space="preserve">相关板块：教育出版、数字教材</w:t>
      </w:r>
    </w:p>
    <w:p>
      <w:pPr>
        <w:numPr>
          <w:ilvl w:val="0"/>
          <w:numId w:val="1005"/>
        </w:numPr>
        <w:pStyle w:val="Compact"/>
      </w:pPr>
      <w:r>
        <w:t xml:space="preserve">核心解读：有利于教材体系建设与规范化，但内容强调治理、编审和正确导向，商业弹性未明确，不宜直接拔高为教育题材主线。</w:t>
      </w:r>
    </w:p>
    <w:p>
      <w:pPr>
        <w:numPr>
          <w:ilvl w:val="0"/>
          <w:numId w:val="1005"/>
        </w:numPr>
        <w:pStyle w:val="Compact"/>
      </w:pPr>
      <w:r>
        <w:t xml:space="preserve">验证条件：观察教育出版板块是否有成交与资金扩散；无量异动不追。</w:t>
      </w:r>
    </w:p>
    <w:p>
      <w:pPr>
        <w:pStyle w:val="Heading4"/>
      </w:pPr>
      <w:bookmarkStart w:id="28" w:name="韩正出席第二十六届中国国际投资贸易洽谈会开幕式并致辞"/>
      <w:r>
        <w:t xml:space="preserve">韩正出席第二十六届中国国际投资贸易洽谈会开幕式并致辞</w:t>
      </w:r>
      <w:bookmarkEnd w:id="28"/>
    </w:p>
    <w:p>
      <w:pPr>
        <w:numPr>
          <w:ilvl w:val="0"/>
          <w:numId w:val="1006"/>
        </w:numPr>
        <w:pStyle w:val="Compact"/>
      </w:pPr>
      <w:r>
        <w:t xml:space="preserve">A股影响：偏利好</w:t>
      </w:r>
    </w:p>
    <w:p>
      <w:pPr>
        <w:numPr>
          <w:ilvl w:val="0"/>
          <w:numId w:val="1006"/>
        </w:numPr>
        <w:pStyle w:val="Compact"/>
      </w:pPr>
      <w:r>
        <w:t xml:space="preserve">相关板块：跨境投资服务、供应链服务、自贸区、会展经济</w:t>
      </w:r>
    </w:p>
    <w:p>
      <w:pPr>
        <w:numPr>
          <w:ilvl w:val="0"/>
          <w:numId w:val="1006"/>
        </w:numPr>
        <w:pStyle w:val="Compact"/>
      </w:pPr>
      <w:r>
        <w:t xml:space="preserve">核心解读：高水平开放、双向投资和产业链稳定信号，有助于跨境服务与开放平台预期，但更多是政策环境改善而非即时利润增量。</w:t>
      </w:r>
    </w:p>
    <w:p>
      <w:pPr>
        <w:numPr>
          <w:ilvl w:val="0"/>
          <w:numId w:val="1006"/>
        </w:numPr>
        <w:pStyle w:val="Compact"/>
      </w:pPr>
      <w:r>
        <w:t xml:space="preserve">验证条件：自贸区、供应链服务板块需有连续资金承接；若仅会展概念短冲，按事件脉冲处理。</w:t>
      </w:r>
    </w:p>
    <w:p>
      <w:pPr>
        <w:pStyle w:val="Heading4"/>
      </w:pPr>
      <w:bookmarkStart w:id="29" w:name="前8个月我国外贸同比增长17.6-延续快速增长态势"/>
      <w:r>
        <w:t xml:space="preserve">前8个月我国外贸同比增长17.6% 延续快速增长态势</w:t>
      </w:r>
      <w:bookmarkEnd w:id="29"/>
    </w:p>
    <w:p>
      <w:pPr>
        <w:numPr>
          <w:ilvl w:val="0"/>
          <w:numId w:val="1007"/>
        </w:numPr>
        <w:pStyle w:val="Compact"/>
      </w:pPr>
      <w:r>
        <w:t xml:space="preserve">A股影响：利好</w:t>
      </w:r>
    </w:p>
    <w:p>
      <w:pPr>
        <w:numPr>
          <w:ilvl w:val="0"/>
          <w:numId w:val="1007"/>
        </w:numPr>
        <w:pStyle w:val="Compact"/>
      </w:pPr>
      <w:r>
        <w:t xml:space="preserve">相关板块：汽车、工业机器人、船舶、外贸供应链</w:t>
      </w:r>
    </w:p>
    <w:p>
      <w:pPr>
        <w:numPr>
          <w:ilvl w:val="0"/>
          <w:numId w:val="1007"/>
        </w:numPr>
        <w:pStyle w:val="Compact"/>
      </w:pPr>
      <w:r>
        <w:t xml:space="preserve">核心解读：前8个月货物贸易进出口总值 34.78 万亿元、同比增长 17.6%，机电产品出口 12.91 万亿元；汽车、工业机器人、船舶出口分别增长 47.1%、13%、29.8%，结构性指向明确。</w:t>
      </w:r>
    </w:p>
    <w:p>
      <w:pPr>
        <w:numPr>
          <w:ilvl w:val="0"/>
          <w:numId w:val="1007"/>
        </w:numPr>
        <w:pStyle w:val="Compact"/>
      </w:pPr>
      <w:r>
        <w:t xml:space="preserve">验证条件：出口链核心公司需要量价共振；若人民币快速升值或贸易摩擦升级，出口链估值修复逻辑减弱。</w:t>
      </w:r>
    </w:p>
    <w:p>
      <w:pPr>
        <w:pStyle w:val="Heading4"/>
      </w:pPr>
      <w:bookmarkStart w:id="30" w:name="赓续长征精神-奋进复兴征程记者再走长征路主题采访启动"/>
      <w:r>
        <w:t xml:space="preserve">“</w:t>
      </w:r>
      <w:r>
        <w:t xml:space="preserve">赓续长征精神 奋进复兴征程——记者再走长征路</w:t>
      </w:r>
      <w:r>
        <w:t xml:space="preserve">”</w:t>
      </w:r>
      <w:r>
        <w:t xml:space="preserve">主题采访启动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A股影响：中性</w:t>
      </w:r>
    </w:p>
    <w:p>
      <w:pPr>
        <w:numPr>
          <w:ilvl w:val="0"/>
          <w:numId w:val="1008"/>
        </w:numPr>
        <w:pStyle w:val="Compact"/>
      </w:pPr>
      <w:r>
        <w:t xml:space="preserve">相关板块：无直接映射</w:t>
      </w:r>
    </w:p>
    <w:p>
      <w:pPr>
        <w:numPr>
          <w:ilvl w:val="0"/>
          <w:numId w:val="1008"/>
        </w:numPr>
        <w:pStyle w:val="Compact"/>
      </w:pPr>
      <w:r>
        <w:t xml:space="preserve">核心解读：属于主题宣传活动，对上市公司业绩没有直接传导，不作为交易依据。</w:t>
      </w:r>
    </w:p>
    <w:p>
      <w:pPr>
        <w:numPr>
          <w:ilvl w:val="0"/>
          <w:numId w:val="1008"/>
        </w:numPr>
        <w:pStyle w:val="Compact"/>
      </w:pPr>
      <w:r>
        <w:t xml:space="preserve">验证条件：不设交易验证条件；若出现红色文旅异动，也仅按短线题材观察。</w:t>
      </w:r>
    </w:p>
    <w:p>
      <w:pPr>
        <w:pStyle w:val="Heading4"/>
      </w:pPr>
      <w:bookmarkStart w:id="31" w:name="年服贸会明天开幕-各项筹备工作全部就绪"/>
      <w:r>
        <w:t xml:space="preserve">2026年服贸会明天开幕 各项筹备工作全部就绪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A股影响：偏利好</w:t>
      </w:r>
    </w:p>
    <w:p>
      <w:pPr>
        <w:numPr>
          <w:ilvl w:val="0"/>
          <w:numId w:val="1009"/>
        </w:numPr>
        <w:pStyle w:val="Compact"/>
      </w:pPr>
      <w:r>
        <w:t xml:space="preserve">相关板块：数字贸易、会展经济、文化传媒、出海服务</w:t>
      </w:r>
    </w:p>
    <w:p>
      <w:pPr>
        <w:numPr>
          <w:ilvl w:val="0"/>
          <w:numId w:val="1009"/>
        </w:numPr>
        <w:pStyle w:val="Compact"/>
      </w:pPr>
      <w:r>
        <w:t xml:space="preserve">核心解读：服贸会于 9 月 9 日开幕，90 个国家（地区）和国际组织参与、473 家世界500强和行业头部企业线下参展，事件确定性高；市场强度仍取决于新增签约与成果发布。</w:t>
      </w:r>
    </w:p>
    <w:p>
      <w:pPr>
        <w:numPr>
          <w:ilvl w:val="0"/>
          <w:numId w:val="1009"/>
        </w:numPr>
        <w:pStyle w:val="Compact"/>
      </w:pPr>
      <w:r>
        <w:t xml:space="preserve">验证条件：服贸会相关板块需放量并出现龙头承接；高开低走或缺乏扩散则不追。</w:t>
      </w:r>
    </w:p>
    <w:p>
      <w:pPr>
        <w:pStyle w:val="Heading4"/>
      </w:pPr>
      <w:bookmarkStart w:id="32" w:name="新闻特写奔向中国-投资中国"/>
      <w:r>
        <w:t xml:space="preserve">【新闻特写】奔向中国 投资中国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A股影响：偏利好</w:t>
      </w:r>
    </w:p>
    <w:p>
      <w:pPr>
        <w:numPr>
          <w:ilvl w:val="0"/>
          <w:numId w:val="1010"/>
        </w:numPr>
        <w:pStyle w:val="Compact"/>
      </w:pPr>
      <w:r>
        <w:t xml:space="preserve">相关板块：外资服务、自贸区、高端制造、新质生产力</w:t>
      </w:r>
    </w:p>
    <w:p>
      <w:pPr>
        <w:numPr>
          <w:ilvl w:val="0"/>
          <w:numId w:val="1010"/>
        </w:numPr>
        <w:pStyle w:val="Compact"/>
      </w:pPr>
      <w:r>
        <w:t xml:space="preserve">核心解读：投洽会吸引 129 个国家和地区工商企业团组，强化</w:t>
      </w:r>
      <w:r>
        <w:t xml:space="preserve">“</w:t>
      </w:r>
      <w:r>
        <w:t xml:space="preserve">投资中国</w:t>
      </w:r>
      <w:r>
        <w:t xml:space="preserve">”</w:t>
      </w:r>
      <w:r>
        <w:t xml:space="preserve">和产业生态吸引力预期，但短期更多影响情绪。</w:t>
      </w:r>
    </w:p>
    <w:p>
      <w:pPr>
        <w:numPr>
          <w:ilvl w:val="0"/>
          <w:numId w:val="1010"/>
        </w:numPr>
        <w:pStyle w:val="Compact"/>
      </w:pPr>
      <w:r>
        <w:t xml:space="preserve">验证条件：观察外资服务、自贸区及高端制造是否形成板块联动；缺乏成交配合则维持中性观察。</w:t>
      </w:r>
    </w:p>
    <w:p>
      <w:pPr>
        <w:pStyle w:val="Heading4"/>
      </w:pPr>
      <w:bookmarkStart w:id="33" w:name="应急管理部原党委书记部长王祥喜严重违纪违法被开除党籍和公职"/>
      <w:r>
        <w:t xml:space="preserve">应急管理部原党委书记、部长王祥喜严重违纪违法被开除党籍和公职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A股影响：中性</w:t>
      </w:r>
    </w:p>
    <w:p>
      <w:pPr>
        <w:numPr>
          <w:ilvl w:val="0"/>
          <w:numId w:val="1011"/>
        </w:numPr>
        <w:pStyle w:val="Compact"/>
      </w:pPr>
      <w:r>
        <w:t xml:space="preserve">相关板块：无直接映射</w:t>
      </w:r>
    </w:p>
    <w:p>
      <w:pPr>
        <w:numPr>
          <w:ilvl w:val="0"/>
          <w:numId w:val="1011"/>
        </w:numPr>
        <w:pStyle w:val="Compact"/>
      </w:pPr>
      <w:r>
        <w:t xml:space="preserve">核心解读：属于纪检监察信息，对行业景气与上市公司盈利没有可确认的直接影响。</w:t>
      </w:r>
    </w:p>
    <w:p>
      <w:pPr>
        <w:numPr>
          <w:ilvl w:val="0"/>
          <w:numId w:val="1011"/>
        </w:numPr>
        <w:pStyle w:val="Compact"/>
      </w:pPr>
      <w:r>
        <w:t xml:space="preserve">验证条件：不据此交易。</w:t>
      </w:r>
    </w:p>
    <w:p>
      <w:pPr>
        <w:pStyle w:val="Heading4"/>
      </w:pPr>
      <w:bookmarkStart w:id="34" w:name="国内联播快讯"/>
      <w:r>
        <w:t xml:space="preserve">国内联播快讯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A股影响：偏利好</w:t>
      </w:r>
    </w:p>
    <w:p>
      <w:pPr>
        <w:numPr>
          <w:ilvl w:val="0"/>
          <w:numId w:val="1012"/>
        </w:numPr>
        <w:pStyle w:val="Compact"/>
      </w:pPr>
      <w:r>
        <w:t xml:space="preserve">相关板块：大宗商品、跨境支付、汽车零部件、知识产权、消费、医保、高铁水利、海上风光</w:t>
      </w:r>
    </w:p>
    <w:p>
      <w:pPr>
        <w:numPr>
          <w:ilvl w:val="0"/>
          <w:numId w:val="1012"/>
        </w:numPr>
        <w:pStyle w:val="Compact"/>
      </w:pPr>
      <w:r>
        <w:t xml:space="preserve">核心解读：大宗商品景气、人民币跨境支付扩围、汽车账期规范、放心消费与重大工程形成多条结构线索。其中汽车账期规范有利于改善供应链回款，但可能增加整车企业短期现金流压力。</w:t>
      </w:r>
    </w:p>
    <w:p>
      <w:pPr>
        <w:numPr>
          <w:ilvl w:val="0"/>
          <w:numId w:val="1012"/>
        </w:numPr>
        <w:pStyle w:val="Compact"/>
      </w:pPr>
      <w:r>
        <w:t xml:space="preserve">验证条件：仅选择出现资金、成交和龙头共振的细分方向；快讯涉及面广，禁止把全部板块同时视为主线。</w:t>
      </w:r>
    </w:p>
    <w:p>
      <w:pPr>
        <w:pStyle w:val="Heading4"/>
      </w:pPr>
      <w:bookmarkStart w:id="35" w:name="加拿大对美国反制关税今天正式生效"/>
      <w:r>
        <w:t xml:space="preserve">加拿大对美国反制关税今天正式生效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A股影响：中性</w:t>
      </w:r>
    </w:p>
    <w:p>
      <w:pPr>
        <w:numPr>
          <w:ilvl w:val="0"/>
          <w:numId w:val="1013"/>
        </w:numPr>
        <w:pStyle w:val="Compact"/>
      </w:pPr>
      <w:r>
        <w:t xml:space="preserve">相关板块：钢铝、家电、农业机械、航空制造、出口链</w:t>
      </w:r>
    </w:p>
    <w:p>
      <w:pPr>
        <w:numPr>
          <w:ilvl w:val="0"/>
          <w:numId w:val="1013"/>
        </w:numPr>
        <w:pStyle w:val="Compact"/>
      </w:pPr>
      <w:r>
        <w:t xml:space="preserve">核心解读：约 200 亿美元商品的对等关税抬升北美贸易摩擦风险，可能带来订单转移机会，也可能压制全球贸易风险偏好，影响双向而非单纯利好。</w:t>
      </w:r>
    </w:p>
    <w:p>
      <w:pPr>
        <w:numPr>
          <w:ilvl w:val="0"/>
          <w:numId w:val="1013"/>
        </w:numPr>
        <w:pStyle w:val="Compact"/>
      </w:pPr>
      <w:r>
        <w:t xml:space="preserve">验证条件：需观察相关商品价格、订单预期与出口链股价反馈；冲突扩散则优先控制外需敞口。</w:t>
      </w:r>
    </w:p>
    <w:p>
      <w:pPr>
        <w:pStyle w:val="Heading4"/>
      </w:pPr>
      <w:bookmarkStart w:id="36" w:name="国际联播快讯"/>
      <w:r>
        <w:t xml:space="preserve">国际联播快讯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A股影响：偏利空</w:t>
      </w:r>
    </w:p>
    <w:p>
      <w:pPr>
        <w:numPr>
          <w:ilvl w:val="0"/>
          <w:numId w:val="1014"/>
        </w:numPr>
        <w:pStyle w:val="Compact"/>
      </w:pPr>
      <w:r>
        <w:t xml:space="preserve">相关板块：油气、航运、军工；航空、化工下游承压</w:t>
      </w:r>
    </w:p>
    <w:p>
      <w:pPr>
        <w:numPr>
          <w:ilvl w:val="0"/>
          <w:numId w:val="1014"/>
        </w:numPr>
        <w:pStyle w:val="Compact"/>
      </w:pPr>
      <w:r>
        <w:t xml:space="preserve">核心解读：俄乌冲突升级、沙特能源设施遭袭及伊朗能源资产警告抬高能源供应风险。WTI 原油采集时上涨 1.65%，但事件驱动波动大。</w:t>
      </w:r>
    </w:p>
    <w:p>
      <w:pPr>
        <w:numPr>
          <w:ilvl w:val="0"/>
          <w:numId w:val="1014"/>
        </w:numPr>
        <w:pStyle w:val="Compact"/>
      </w:pPr>
      <w:r>
        <w:t xml:space="preserve">验证条件：油价与油气板块需同步走强方可参与；若地缘缓和或油价回落，事件溢价迅速失效。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今日重要公告"/>
      <w:r>
        <w:t xml:space="preserve">📋 今日重要公告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⚠️ 东方财富公告源返回 HTTP 567，增减持、解禁、业绩、停复牌、重组及监管问询榜单均未核验。</w:t>
      </w:r>
    </w:p>
    <w:p>
      <w:pPr>
        <w:numPr>
          <w:ilvl w:val="0"/>
          <w:numId w:val="1015"/>
        </w:numPr>
        <w:pStyle w:val="Compact"/>
      </w:pPr>
      <w:r>
        <w:t xml:space="preserve">💡 今日个股交易前须自行核对交易所公告；本报告不补写任何未采集公告，也不以华泰文本中的异常波动描述替代结构化公告事实。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8" w:name="今日经济数据事件"/>
      <w:r>
        <w:t xml:space="preserve">📅 今日经济数据/事件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📈 已确认事件：2026 年服贸会今日在北京开幕，聚焦服务贸易、出海服务与九大专题展。</w:t>
      </w:r>
    </w:p>
    <w:p>
      <w:pPr>
        <w:numPr>
          <w:ilvl w:val="0"/>
          <w:numId w:val="1016"/>
        </w:numPr>
        <w:pStyle w:val="Compact"/>
      </w:pPr>
      <w:r>
        <w:t xml:space="preserve">⚠️ 国内 CPI/PPI、PMI、社融/M2、MLF/LPR及逆回购的今日具体日程，采集 JSON 未提供，均标记为未核验。</w:t>
      </w:r>
    </w:p>
    <w:p>
      <w:pPr>
        <w:numPr>
          <w:ilvl w:val="0"/>
          <w:numId w:val="1016"/>
        </w:numPr>
        <w:pStyle w:val="Compact"/>
      </w:pPr>
      <w:r>
        <w:t xml:space="preserve">⚠️ 华泰补充源提示市场关注美国 CPI/PPI 与美联储预期，但没有给出本日确定发布时间；不把它写成</w:t>
      </w:r>
      <w:r>
        <w:t xml:space="preserve">“</w:t>
      </w:r>
      <w:r>
        <w:t xml:space="preserve">今日必然公布</w:t>
      </w:r>
      <w:r>
        <w:t xml:space="preserve">”</w:t>
      </w:r>
      <w:r>
        <w:t xml:space="preserve">的事实。</w:t>
      </w:r>
    </w:p>
    <w:p>
      <w:pPr>
        <w:numPr>
          <w:ilvl w:val="0"/>
          <w:numId w:val="1016"/>
        </w:numPr>
        <w:pStyle w:val="Compact"/>
      </w:pPr>
      <w:r>
        <w:t xml:space="preserve">💡 交易上仅在确定事件落地后评估，避免依据未经核验的日历抢跑。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全球重要事件"/>
      <w:r>
        <w:t xml:space="preserve">🌍 全球重要事件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⚠️ 北美贸易摩擦：加拿大针对约 200 亿美元美国商品的反制关税生效，影响钢铝、家电、农机与航空产业链风险偏好。</w:t>
      </w:r>
    </w:p>
    <w:p>
      <w:pPr>
        <w:numPr>
          <w:ilvl w:val="0"/>
          <w:numId w:val="1017"/>
        </w:numPr>
        <w:pStyle w:val="Compact"/>
      </w:pPr>
      <w:r>
        <w:t xml:space="preserve">⚠️ 中东能源风险：沙特能源设施遭袭、伊朗发出能源资产报复警告；WTI 原油上涨 1.65%，油气受益预期与下游成本压力并存。</w:t>
      </w:r>
    </w:p>
    <w:p>
      <w:pPr>
        <w:numPr>
          <w:ilvl w:val="0"/>
          <w:numId w:val="1017"/>
        </w:numPr>
        <w:pStyle w:val="Compact"/>
      </w:pPr>
      <w:r>
        <w:t xml:space="preserve">⚠️ 俄乌冲突：俄乌相互打击信息升级，军工和能源可能获风险溢价，但脉冲行情不宜追高。</w:t>
      </w:r>
    </w:p>
    <w:p>
      <w:pPr>
        <w:numPr>
          <w:ilvl w:val="0"/>
          <w:numId w:val="1017"/>
        </w:numPr>
        <w:pStyle w:val="Compact"/>
      </w:pPr>
      <w:r>
        <w:t xml:space="preserve">📉 科技巨头发布、加密货币及自然灾害方面，采集 JSON 没有可确认信息，未核验。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0" w:name="昨日复盘要点"/>
      <w:r>
        <w:t xml:space="preserve">📊 昨日复盘要点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📈 上证指数 3940.5509，涨 0.1997%；📉 深证成指 13703.208，跌 0.5206%；📉 创业板指 3359.716，跌 1.1465%；📉 科创50跌 1.5187%，沪深300跌 0.356%。新浪、东方财富、腾讯三源指数点位与涨跌幅校验一致。</w:t>
      </w:r>
    </w:p>
    <w:p>
      <w:pPr>
        <w:numPr>
          <w:ilvl w:val="0"/>
          <w:numId w:val="1018"/>
        </w:numPr>
        <w:pStyle w:val="Compact"/>
      </w:pPr>
      <w:r>
        <w:t xml:space="preserve">📊 同花顺单源涨跌家数为 3417/2026，平盘 106，涨停 74、跌停 0，赚钱效应好于指数表现，说明小盘与题材活跃而权重成长承压。</w:t>
      </w:r>
    </w:p>
    <w:p>
      <w:pPr>
        <w:numPr>
          <w:ilvl w:val="0"/>
          <w:numId w:val="1018"/>
        </w:numPr>
        <w:pStyle w:val="Compact"/>
      </w:pPr>
      <w:r>
        <w:t xml:space="preserve">💰 同花顺单源全市场成交额 19782.20 亿元；昨日口径金额为 19642.35 亿元，但</w:t>
      </w:r>
      <w:r>
        <w:t xml:space="preserve"> </w:t>
      </w:r>
      <w:r>
        <w:rPr>
          <w:rStyle w:val="VerbatimChar"/>
        </w:rPr>
        <w:t xml:space="preserve">turnover_comparison_scope=unverified</w:t>
      </w:r>
      <w:r>
        <w:t xml:space="preserve">，禁止据此计算或引用成交额变化百分比。</w:t>
      </w:r>
    </w:p>
    <w:p>
      <w:pPr>
        <w:numPr>
          <w:ilvl w:val="0"/>
          <w:numId w:val="1018"/>
        </w:numPr>
        <w:pStyle w:val="Compact"/>
      </w:pPr>
      <w:r>
        <w:t xml:space="preserve">⚠️ 资金流、板块涨跌、活跃股与涨跌停样本均采集失败，无法确认</w:t>
      </w:r>
      <w:r>
        <w:t xml:space="preserve">“</w:t>
      </w:r>
      <w:r>
        <w:t xml:space="preserve">昨日主力资金从何处流入、从何处流出</w:t>
      </w:r>
      <w:r>
        <w:t xml:space="preserve">”</w:t>
      </w:r>
      <w:r>
        <w:t xml:space="preserve">，也不能把华泰文本中的方向判断当成结构化资金事实。</w:t>
      </w:r>
    </w:p>
    <w:p>
      <w:pPr>
        <w:numPr>
          <w:ilvl w:val="0"/>
          <w:numId w:val="1018"/>
        </w:numPr>
        <w:pStyle w:val="Compact"/>
      </w:pPr>
      <w:r>
        <w:t xml:space="preserve">🎭 派生市场风格为</w:t>
      </w:r>
      <w:r>
        <w:t xml:space="preserve">“</w:t>
      </w:r>
      <w:r>
        <w:t xml:space="preserve">震荡/均衡</w:t>
      </w:r>
      <w:r>
        <w:t xml:space="preserve">”</w:t>
      </w:r>
      <w:r>
        <w:t xml:space="preserve">，仓位模型上限 60%；考虑关键源覆盖仅 42.86%，实际执行应比模型上限更重视开盘验证。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1" w:name="昨日资金流向-top10"/>
      <w:r>
        <w:t xml:space="preserve">💰 昨日资金流向 TOP10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💰 主力净流入 TOP10：未核验。</w:t>
      </w:r>
      <w:r>
        <w:rPr>
          <w:rStyle w:val="VerbatimChar"/>
        </w:rPr>
        <w:t xml:space="preserve">sources.money_flow.ok=false</w:t>
      </w:r>
      <w:r>
        <w:t xml:space="preserve">，东方财富接口返回 HTTP 502，禁止补写板块、个股或金额。</w:t>
      </w:r>
    </w:p>
    <w:p>
      <w:pPr>
        <w:numPr>
          <w:ilvl w:val="0"/>
          <w:numId w:val="1019"/>
        </w:numPr>
        <w:pStyle w:val="Compact"/>
      </w:pPr>
      <w:r>
        <w:t xml:space="preserve">⚠️ 主力净流出 TOP10：未核验。相同原因无真实榜单，禁止用搜索结果或华泰文本替代。</w:t>
      </w:r>
    </w:p>
    <w:p>
      <w:pPr>
        <w:numPr>
          <w:ilvl w:val="0"/>
          <w:numId w:val="1019"/>
        </w:numPr>
        <w:pStyle w:val="Compact"/>
      </w:pPr>
      <w:r>
        <w:t xml:space="preserve">🚫 因资金证据链缺失，今日所有方向都只能作为</w:t>
      </w:r>
      <w:r>
        <w:t xml:space="preserve">“</w:t>
      </w:r>
      <w:r>
        <w:t xml:space="preserve">条件式预案</w:t>
      </w:r>
      <w:r>
        <w:t xml:space="preserve">”</w:t>
      </w:r>
      <w:r>
        <w:t xml:space="preserve">，不能写成已获主力资金确认。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今日操作策略"/>
      <w:r>
        <w:t xml:space="preserve">🎯 今日操作策略</w:t>
      </w:r>
      <w:bookmarkEnd w:id="42"/>
    </w:p>
    <w:p>
      <w:pPr>
        <w:numPr>
          <w:ilvl w:val="0"/>
          <w:numId w:val="1020"/>
        </w:numPr>
        <w:pStyle w:val="Compact"/>
      </w:pPr>
      <w:r>
        <w:t xml:space="preserve">🎭 市场预判：震荡分化。沪强深弱、上涨家数占优与科技指数偏弱并存；A50微涨不足以扭转外盘谨慎情绪。</w:t>
      </w:r>
    </w:p>
    <w:p>
      <w:pPr>
        <w:numPr>
          <w:ilvl w:val="0"/>
          <w:numId w:val="1020"/>
        </w:numPr>
        <w:pStyle w:val="Compact"/>
      </w:pPr>
      <w:r>
        <w:t xml:space="preserve">🔥 关注顺序：城市更新与重大工程 → 服务贸易/数字文化出海 → 油气资源事件驱动。三者均需竞价和开盘成交验证。</w:t>
      </w:r>
    </w:p>
    <w:p>
      <w:pPr>
        <w:numPr>
          <w:ilvl w:val="0"/>
          <w:numId w:val="1020"/>
        </w:numPr>
        <w:pStyle w:val="Compact"/>
      </w:pPr>
      <w:r>
        <w:t xml:space="preserve">💡 激进：仓位不高于 60%，只做最先形成板块放量、龙头承接的方向，不追一致性高开。</w:t>
      </w:r>
    </w:p>
    <w:p>
      <w:pPr>
        <w:numPr>
          <w:ilvl w:val="0"/>
          <w:numId w:val="1020"/>
        </w:numPr>
        <w:pStyle w:val="Compact"/>
      </w:pPr>
      <w:r>
        <w:t xml:space="preserve">💡 稳健：仓位不高于 45%，等开盘 30 分钟后确认指数企稳、板块扩散与核心标的承接。</w:t>
      </w:r>
    </w:p>
    <w:p>
      <w:pPr>
        <w:numPr>
          <w:ilvl w:val="0"/>
          <w:numId w:val="1020"/>
        </w:numPr>
        <w:pStyle w:val="Compact"/>
      </w:pPr>
      <w:r>
        <w:t xml:space="preserve">💡 保守：仓位不高于 30%，以工商银行、农业银行等高股息持仓管理为主，等待资金流数据恢复。</w:t>
      </w:r>
    </w:p>
    <w:p>
      <w:pPr>
        <w:numPr>
          <w:ilvl w:val="0"/>
          <w:numId w:val="1020"/>
        </w:numPr>
        <w:pStyle w:val="Compact"/>
      </w:pPr>
      <w:r>
        <w:t xml:space="preserve">⚠️ 总风险：资金流与板块榜单缺失、科技指数弱于沪指、地缘事件波动、题材高开低走。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今日重点投资方向"/>
      <w:r>
        <w:t xml:space="preserve">🎯 今日重点投资方向</w:t>
      </w:r>
      <w:bookmarkEnd w:id="43"/>
    </w:p>
    <w:p>
      <w:pPr>
        <w:pStyle w:val="Heading3"/>
      </w:pPr>
      <w:bookmarkStart w:id="44" w:name="方向一城市更新地下管网建筑建材优先级高"/>
      <w:r>
        <w:t xml:space="preserve">🚀 方向一：城市更新—地下管网/建筑建材（优先级：高）</w:t>
      </w:r>
      <w:bookmarkEnd w:id="44"/>
    </w:p>
    <w:p>
      <w:pPr>
        <w:numPr>
          <w:ilvl w:val="0"/>
          <w:numId w:val="1021"/>
        </w:numPr>
        <w:pStyle w:val="Compact"/>
      </w:pPr>
      <w:r>
        <w:t xml:space="preserve">📌 证据链：国务院专题学习明确城市更新；提出加大政府投入和重大工程；强调防灾减灾、宜居宜业与多元投融资。政策证据完整，但板块涨幅和资金流未核验。</w:t>
      </w:r>
    </w:p>
    <w:p>
      <w:pPr>
        <w:numPr>
          <w:ilvl w:val="0"/>
          <w:numId w:val="1021"/>
        </w:numPr>
        <w:pStyle w:val="Compact"/>
      </w:pPr>
      <w:r>
        <w:t xml:space="preserve">🔥 核心标的：我爱我家（000560，华泰单源显示上日涨 9.90%、换手率 27.65%、主力净流入 2.72 亿元，属于高波动城市服务线索）；其他建筑建材核心因活跃股榜单缺失，不强行补齐。</w:t>
      </w:r>
    </w:p>
    <w:p>
      <w:pPr>
        <w:numPr>
          <w:ilvl w:val="0"/>
          <w:numId w:val="1021"/>
        </w:numPr>
        <w:pStyle w:val="Compact"/>
      </w:pPr>
      <w:r>
        <w:t xml:space="preserve">💡 参与策略：激进仅做分歧转一致的前排；稳健等城市更新链出现至少两个细分同步放量；保守等待项目清单和资金安排落地。</w:t>
      </w:r>
    </w:p>
    <w:p>
      <w:pPr>
        <w:numPr>
          <w:ilvl w:val="0"/>
          <w:numId w:val="1021"/>
        </w:numPr>
        <w:pStyle w:val="Compact"/>
      </w:pPr>
      <w:r>
        <w:t xml:space="preserve">✅ 触发条件：板块开盘后持续放量、前排不快速回落、指数不破坏性下行。</w:t>
      </w:r>
    </w:p>
    <w:p>
      <w:pPr>
        <w:numPr>
          <w:ilvl w:val="0"/>
          <w:numId w:val="1021"/>
        </w:numPr>
        <w:pStyle w:val="Compact"/>
      </w:pPr>
      <w:r>
        <w:t xml:space="preserve">🚫 失效条件：仅单股冲高、板块无扩散，或核心标的跌破开盘价后无法快速收回。</w:t>
      </w:r>
    </w:p>
    <w:p>
      <w:pPr>
        <w:numPr>
          <w:ilvl w:val="0"/>
          <w:numId w:val="1021"/>
        </w:numPr>
        <w:pStyle w:val="Compact"/>
      </w:pPr>
      <w:r>
        <w:t xml:space="preserve">⚠️ 风险：政策到项目存在时滞；我爱我家高换手且已大涨，不追高。</w:t>
      </w:r>
    </w:p>
    <w:p>
      <w:pPr>
        <w:pStyle w:val="Heading3"/>
      </w:pPr>
      <w:bookmarkStart w:id="45" w:name="方向二服务贸易数字文化ai应用出海优先级中"/>
      <w:r>
        <w:t xml:space="preserve">🚀 方向二：服务贸易—数字文化/AI应用出海（优先级：中）</w:t>
      </w:r>
      <w:bookmarkEnd w:id="45"/>
    </w:p>
    <w:p>
      <w:pPr>
        <w:numPr>
          <w:ilvl w:val="0"/>
          <w:numId w:val="1022"/>
        </w:numPr>
        <w:pStyle w:val="Compact"/>
      </w:pPr>
      <w:r>
        <w:t xml:space="preserve">📌 证据链：新闻联播重点报道服务贸易新格局；服贸会今日开幕；知识密集型服务出口 9482.8 亿元、增长 12.2%，个人文化娱乐服务出口增长 57.8%。资金与板块表现未核验。</w:t>
      </w:r>
    </w:p>
    <w:p>
      <w:pPr>
        <w:numPr>
          <w:ilvl w:val="0"/>
          <w:numId w:val="1022"/>
        </w:numPr>
        <w:pStyle w:val="Compact"/>
      </w:pPr>
      <w:r>
        <w:t xml:space="preserve">🔥 核心标的：风语筑（603466，数字文化/展览展示关系，最新 12.62 元、上日涨 3.53%，与服贸会和文化服务方向有一定共振）；昆仑万维、拓尔思仅来自华泰文本线索，缺少本地行情交叉验证，列入观察而非追涨清单。</w:t>
      </w:r>
    </w:p>
    <w:p>
      <w:pPr>
        <w:numPr>
          <w:ilvl w:val="0"/>
          <w:numId w:val="1022"/>
        </w:numPr>
        <w:pStyle w:val="Compact"/>
      </w:pPr>
      <w:r>
        <w:t xml:space="preserve">💡 参与策略：激进观察风语筑竞价承接；稳健等数字贸易、传媒和 AI 应用出现板块共振；保守只跟踪服贸会成果，不做开幕日情绪追高。</w:t>
      </w:r>
    </w:p>
    <w:p>
      <w:pPr>
        <w:numPr>
          <w:ilvl w:val="0"/>
          <w:numId w:val="1022"/>
        </w:numPr>
        <w:pStyle w:val="Compact"/>
      </w:pPr>
      <w:r>
        <w:t xml:space="preserve">✅ 触发条件：风语筑守住 12.19 元上日收盘参考位并放量，且同方向至少两个标的同步走强。</w:t>
      </w:r>
    </w:p>
    <w:p>
      <w:pPr>
        <w:numPr>
          <w:ilvl w:val="0"/>
          <w:numId w:val="1022"/>
        </w:numPr>
        <w:pStyle w:val="Compact"/>
      </w:pPr>
      <w:r>
        <w:t xml:space="preserve">🚫 失效条件：风语筑跌回 12.19 元下方且不能收复，或板块高开低走、成交不扩张。</w:t>
      </w:r>
    </w:p>
    <w:p>
      <w:pPr>
        <w:numPr>
          <w:ilvl w:val="0"/>
          <w:numId w:val="1022"/>
        </w:numPr>
        <w:pStyle w:val="Compact"/>
      </w:pPr>
      <w:r>
        <w:t xml:space="preserve">⚠️ 风险：会展催化可能</w:t>
      </w:r>
      <w:r>
        <w:t xml:space="preserve">“</w:t>
      </w:r>
      <w:r>
        <w:t xml:space="preserve">见光死</w:t>
      </w:r>
      <w:r>
        <w:t xml:space="preserve">”</w:t>
      </w:r>
      <w:r>
        <w:t xml:space="preserve">，概念映射不等同业绩兑现。</w:t>
      </w:r>
    </w:p>
    <w:p>
      <w:pPr>
        <w:pStyle w:val="Heading3"/>
      </w:pPr>
      <w:bookmarkStart w:id="46" w:name="方向三油气资源上游勘探与能源保障优先级观察"/>
      <w:r>
        <w:t xml:space="preserve">🚀 方向三：油气资源—上游勘探与能源保障（优先级：观察）</w:t>
      </w:r>
      <w:bookmarkEnd w:id="46"/>
    </w:p>
    <w:p>
      <w:pPr>
        <w:numPr>
          <w:ilvl w:val="0"/>
          <w:numId w:val="1023"/>
        </w:numPr>
        <w:pStyle w:val="Compact"/>
      </w:pPr>
      <w:r>
        <w:t xml:space="preserve">📌 证据链：WTI 原油报 94.562、上涨 1.65%；沙特能源设施遭袭；伊朗能源资产风险警告。与此同时伦铜跌 0.18%、黄金跌 1.11%，资源板块并非全面共振。</w:t>
      </w:r>
    </w:p>
    <w:p>
      <w:pPr>
        <w:numPr>
          <w:ilvl w:val="0"/>
          <w:numId w:val="1023"/>
        </w:numPr>
        <w:pStyle w:val="Compact"/>
      </w:pPr>
      <w:r>
        <w:t xml:space="preserve">🔥 核心标的：采集 JSON 未提供经多源核验的油气活跃股，不编造 2-5 只个股；仅将油气 ETF 或行业龙头作为盘中观察工具，实际名单以开盘成交额与资金流恢复后确定。</w:t>
      </w:r>
    </w:p>
    <w:p>
      <w:pPr>
        <w:numPr>
          <w:ilvl w:val="0"/>
          <w:numId w:val="1023"/>
        </w:numPr>
        <w:pStyle w:val="Compact"/>
      </w:pPr>
      <w:r>
        <w:t xml:space="preserve">💡 参与策略：激进只做油价与板块同步强化；稳健等冲高回踩承接；保守回避纯地缘脉冲。</w:t>
      </w:r>
    </w:p>
    <w:p>
      <w:pPr>
        <w:numPr>
          <w:ilvl w:val="0"/>
          <w:numId w:val="1023"/>
        </w:numPr>
        <w:pStyle w:val="Compact"/>
      </w:pPr>
      <w:r>
        <w:t xml:space="preserve">✅ 触发条件：原油继续走强、油气板块放量、核心品种不高开低走。</w:t>
      </w:r>
    </w:p>
    <w:p>
      <w:pPr>
        <w:numPr>
          <w:ilvl w:val="0"/>
          <w:numId w:val="1023"/>
        </w:numPr>
        <w:pStyle w:val="Compact"/>
      </w:pPr>
      <w:r>
        <w:t xml:space="preserve">🚫 失效条件：油价回落或地缘缓和，板块主力资金转弱。</w:t>
      </w:r>
    </w:p>
    <w:p>
      <w:pPr>
        <w:numPr>
          <w:ilvl w:val="0"/>
          <w:numId w:val="1023"/>
        </w:numPr>
        <w:pStyle w:val="Compact"/>
      </w:pPr>
      <w:r>
        <w:t xml:space="preserve">⚠️ 风险：事件溢价消退快，下游成本压力可能反向压制指数。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7" w:name="华泰自选股观察"/>
      <w:r>
        <w:t xml:space="preserve">🧾 华泰自选股观察</w:t>
      </w:r>
      <w:bookmarkEnd w:id="47"/>
    </w:p>
    <w:p>
      <w:pPr>
        <w:pStyle w:val="FirstParagraph"/>
      </w:pPr>
      <w:r>
        <w:t xml:space="preserve">自选股共 3 只，行情均来自华泰补充源；因个股新浪/东方财富/腾讯交叉校验失败，以下价格与涨跌按</w:t>
      </w:r>
      <w:r>
        <w:t xml:space="preserve">“</w:t>
      </w:r>
      <w:r>
        <w:t xml:space="preserve">华泰单源</w:t>
      </w:r>
      <w:r>
        <w:t xml:space="preserve">”</w:t>
      </w:r>
      <w:r>
        <w:t xml:space="preserve">标注。风语筑与今日服务贸易/数字文化方向共振最明确；弘元绿能与工商银行以跟踪为主、暂不作为主攻方向。</w:t>
      </w:r>
    </w:p>
    <w:p>
      <w:pPr>
        <w:numPr>
          <w:ilvl w:val="0"/>
          <w:numId w:val="1024"/>
        </w:numPr>
        <w:pStyle w:val="Compact"/>
      </w:pPr>
      <w:r>
        <w:t xml:space="preserve">📉 603185 弘元绿能：最新价 14.97 元，上日跌 1.25%。所属光伏硅片/光伏制造，新闻联播提及</w:t>
      </w:r>
      <w:r>
        <w:t xml:space="preserve">“</w:t>
      </w:r>
      <w:r>
        <w:t xml:space="preserve">光储充</w:t>
      </w:r>
      <w:r>
        <w:t xml:space="preserve">”</w:t>
      </w:r>
      <w:r>
        <w:t xml:space="preserve">出海，但缺少光伏板块资金与活跃度确认，主线共振偏弱。判断：偏弱、继续观察，不追高；只有重新站上 15.16 元并出现板块放量共振，才可低吸跟踪。</w:t>
      </w:r>
    </w:p>
    <w:p>
      <w:pPr>
        <w:numPr>
          <w:ilvl w:val="0"/>
          <w:numId w:val="1024"/>
        </w:numPr>
        <w:pStyle w:val="Compact"/>
      </w:pPr>
      <w:r>
        <w:t xml:space="preserve">📈 603466 风语筑：最新价 12.62 元，上日涨 3.53%。所属数字文化、展览展示与沉浸式体验，和服贸会、文化服务出口主题有一定共振。判断：偏强但不追高；守住 12.19 元并放量可继续观察，跌回并持续弱于 12.19 元则降低预期。</w:t>
      </w:r>
    </w:p>
    <w:p>
      <w:pPr>
        <w:numPr>
          <w:ilvl w:val="0"/>
          <w:numId w:val="1024"/>
        </w:numPr>
        <w:pStyle w:val="Compact"/>
      </w:pPr>
      <w:r>
        <w:t xml:space="preserve">📉 601398 工商银行：最新价 7.94 元，上日跌 0.38%。所属银行/高股息，与服务贸易和城市更新的直接题材共振有限，但可提供防御属性。判断：继续观察、偏稳健持有；未重新站稳 7.97 元前不做强势判断，以跟踪为主、暂不作为主攻方向。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8" w:name="用户实盘持仓策略"/>
      <w:r>
        <w:t xml:space="preserve">💼 用户实盘持仓策略</w:t>
      </w:r>
      <w:bookmarkEnd w:id="48"/>
    </w:p>
    <w:p>
      <w:pPr>
        <w:pStyle w:val="BlockText"/>
      </w:pPr>
      <w:r>
        <w:t xml:space="preserve">行情口径：弘元绿能、风语筑、工商银行为华泰单源；农业银行为本轮追加华泰查询，均为 2026-09-08 收盘数据。前三只缺少趋势量价、公告和多源个股交叉校验；农业银行支撑/压力为华泰算法参考，需盘中验证。</w:t>
      </w:r>
    </w:p>
    <w:p>
      <w:pPr>
        <w:pStyle w:val="Heading3"/>
      </w:pPr>
      <w:bookmarkStart w:id="49" w:name="弘元绿能603185-300股成本-26.6669元"/>
      <w:r>
        <w:t xml:space="preserve">📉 弘元绿能（603185）— 300股，成本 26.6669元</w:t>
      </w:r>
      <w:bookmarkEnd w:id="49"/>
    </w:p>
    <w:p>
      <w:pPr>
        <w:numPr>
          <w:ilvl w:val="0"/>
          <w:numId w:val="1025"/>
        </w:numPr>
        <w:pStyle w:val="Compact"/>
      </w:pPr>
      <w:r>
        <w:t xml:space="preserve">📊 最新价 14.97 元，浮亏 43.86%，账面浮亏 3509.07 元（未计费用）。深度亏损不是无条件补仓理由。</w:t>
      </w:r>
    </w:p>
    <w:p>
      <w:pPr>
        <w:numPr>
          <w:ilvl w:val="0"/>
          <w:numId w:val="1025"/>
        </w:numPr>
        <w:pStyle w:val="Compact"/>
      </w:pPr>
      <w:r>
        <w:t xml:space="preserve">💡 今日动作：减仓观察。若光伏板块无共振、股价反弹仍不能站稳 15.16 元，可借反弹降低仓位；不因接近跌停价或</w:t>
      </w:r>
      <w:r>
        <w:t xml:space="preserve">“</w:t>
      </w:r>
      <w:r>
        <w:t xml:space="preserve">摊低成本</w:t>
      </w:r>
      <w:r>
        <w:t xml:space="preserve">”</w:t>
      </w:r>
      <w:r>
        <w:t xml:space="preserve">盲目加仓。</w:t>
      </w:r>
    </w:p>
    <w:p>
      <w:pPr>
        <w:numPr>
          <w:ilvl w:val="0"/>
          <w:numId w:val="1025"/>
        </w:numPr>
        <w:pStyle w:val="Compact"/>
      </w:pPr>
      <w:r>
        <w:t xml:space="preserve">🚫 减仓/离场触发：跌破开盘价后放量走弱，或跌破 14.97 元附近后无法收回；若接近 13.64 元跌停价，优先风险控制而非等待回本。</w:t>
      </w:r>
    </w:p>
    <w:p>
      <w:pPr>
        <w:numPr>
          <w:ilvl w:val="0"/>
          <w:numId w:val="1025"/>
        </w:numPr>
        <w:pStyle w:val="Compact"/>
      </w:pPr>
      <w:r>
        <w:t xml:space="preserve">✅ 条件加仓：仅在重新站稳 15.16 元、光伏板块同步放量且公司公告无新增利空时，小仓试错；当前条件未满足。</w:t>
      </w:r>
    </w:p>
    <w:p>
      <w:pPr>
        <w:numPr>
          <w:ilvl w:val="0"/>
          <w:numId w:val="1025"/>
        </w:numPr>
        <w:pStyle w:val="Compact"/>
      </w:pPr>
      <w:r>
        <w:t xml:space="preserve">⚠️ 失效与风险：若反弹无量或板块资金继续缺席，任何加仓逻辑失效；高成本与现价差距大，修复周期可能较长。</w:t>
      </w:r>
    </w:p>
    <w:p>
      <w:pPr>
        <w:pStyle w:val="Heading3"/>
      </w:pPr>
      <w:bookmarkStart w:id="50" w:name="风语筑603466-700股成本-13.2159元"/>
      <w:r>
        <w:t xml:space="preserve">📈 风语筑（603466）— 700股，成本 13.2159元</w:t>
      </w:r>
      <w:bookmarkEnd w:id="50"/>
    </w:p>
    <w:p>
      <w:pPr>
        <w:numPr>
          <w:ilvl w:val="0"/>
          <w:numId w:val="1026"/>
        </w:numPr>
        <w:pStyle w:val="Compact"/>
      </w:pPr>
      <w:r>
        <w:t xml:space="preserve">📊 最新价 12.62 元，浮亏 4.51%，账面浮亏 417.13 元（未计费用）。上日涨 3.53%，与数字文化/服贸会方向有一定共振。</w:t>
      </w:r>
    </w:p>
    <w:p>
      <w:pPr>
        <w:numPr>
          <w:ilvl w:val="0"/>
          <w:numId w:val="1026"/>
        </w:numPr>
        <w:pStyle w:val="Compact"/>
      </w:pPr>
      <w:r>
        <w:t xml:space="preserve">💡 今日动作：持有观察，不追涨加仓。重点看 12.19 元上日收盘参考位和服贸会方向的板块承接。</w:t>
      </w:r>
    </w:p>
    <w:p>
      <w:pPr>
        <w:numPr>
          <w:ilvl w:val="0"/>
          <w:numId w:val="1026"/>
        </w:numPr>
        <w:pStyle w:val="Compact"/>
      </w:pPr>
      <w:r>
        <w:t xml:space="preserve">🚫 减仓/离场触发：高开低走并跌回 12.19 元下方后不能收复，或数字文化板块无扩散且个股放量滞涨，可减仓；接近 10.97 元跌停价属于极端风险，不作为常规止损线等待。</w:t>
      </w:r>
    </w:p>
    <w:p>
      <w:pPr>
        <w:numPr>
          <w:ilvl w:val="0"/>
          <w:numId w:val="1026"/>
        </w:numPr>
        <w:pStyle w:val="Compact"/>
      </w:pPr>
      <w:r>
        <w:t xml:space="preserve">✅ 条件加仓：放量站稳成本价 13.2159 元附近、板块同步走强且非单日事件脉冲时，才考虑小仓加仓；不能只因</w:t>
      </w:r>
      <w:r>
        <w:t xml:space="preserve">“</w:t>
      </w:r>
      <w:r>
        <w:t xml:space="preserve">快回本</w:t>
      </w:r>
      <w:r>
        <w:t xml:space="preserve">”</w:t>
      </w:r>
      <w:r>
        <w:t xml:space="preserve">而操作。</w:t>
      </w:r>
    </w:p>
    <w:p>
      <w:pPr>
        <w:numPr>
          <w:ilvl w:val="0"/>
          <w:numId w:val="1026"/>
        </w:numPr>
        <w:pStyle w:val="Compact"/>
      </w:pPr>
      <w:r>
        <w:t xml:space="preserve">⚠️ 失效与风险：服贸会催化见光死、公告未核验、单源行情误差；若板块转弱，主线共振判断失效。</w:t>
      </w:r>
    </w:p>
    <w:p>
      <w:pPr>
        <w:pStyle w:val="Heading3"/>
      </w:pPr>
      <w:bookmarkStart w:id="51" w:name="工商银行601398-1900股成本-7.0601元"/>
      <w:r>
        <w:t xml:space="preserve">📈 工商银行（601398）— 1900股，成本 7.0601元</w:t>
      </w:r>
      <w:bookmarkEnd w:id="51"/>
    </w:p>
    <w:p>
      <w:pPr>
        <w:numPr>
          <w:ilvl w:val="0"/>
          <w:numId w:val="1027"/>
        </w:numPr>
        <w:pStyle w:val="Compact"/>
      </w:pPr>
      <w:r>
        <w:t xml:space="preserve">📊 最新价 7.94 元，浮盈 12.46%，账面浮盈 1671.81 元（未计费用）。上日跌 0.38%，高股息防御属性仍在，但短线未显强。</w:t>
      </w:r>
    </w:p>
    <w:p>
      <w:pPr>
        <w:numPr>
          <w:ilvl w:val="0"/>
          <w:numId w:val="1027"/>
        </w:numPr>
        <w:pStyle w:val="Compact"/>
      </w:pPr>
      <w:r>
        <w:t xml:space="preserve">💡 今日动作：稳健持有，以保护利润为主；不在未站稳 7.97 元前追高加仓。</w:t>
      </w:r>
    </w:p>
    <w:p>
      <w:pPr>
        <w:numPr>
          <w:ilvl w:val="0"/>
          <w:numId w:val="1027"/>
        </w:numPr>
        <w:pStyle w:val="Compact"/>
      </w:pPr>
      <w:r>
        <w:t xml:space="preserve">🚫 减仓/离场触发：跌破开盘价并放量、银行板块同步转弱，可分批锁定利润；若出现连续弱于大盘且回撤扩大，继续降低仓位。</w:t>
      </w:r>
    </w:p>
    <w:p>
      <w:pPr>
        <w:numPr>
          <w:ilvl w:val="0"/>
          <w:numId w:val="1027"/>
        </w:numPr>
        <w:pStyle w:val="Compact"/>
      </w:pPr>
      <w:r>
        <w:t xml:space="preserve">✅ 条件加仓：重新站稳 7.97 元并伴随银行板块放量、指数风险偏好下降时，可小仓防御性增配。</w:t>
      </w:r>
    </w:p>
    <w:p>
      <w:pPr>
        <w:numPr>
          <w:ilvl w:val="0"/>
          <w:numId w:val="1027"/>
        </w:numPr>
        <w:pStyle w:val="Compact"/>
      </w:pPr>
      <w:r>
        <w:t xml:space="preserve">⚠️ 失效与风险：利率环境、净息差压力及高股息交易拥挤；若银行板块失去防御共振，加仓逻辑失效。</w:t>
      </w:r>
    </w:p>
    <w:p>
      <w:pPr>
        <w:pStyle w:val="Heading3"/>
      </w:pPr>
      <w:bookmarkStart w:id="52" w:name="农业银行601288-5300股成本-6.4244元"/>
      <w:r>
        <w:t xml:space="preserve">📈 农业银行（601288）— 5300股，成本 6.4244元</w:t>
      </w:r>
      <w:bookmarkEnd w:id="52"/>
    </w:p>
    <w:p>
      <w:pPr>
        <w:numPr>
          <w:ilvl w:val="0"/>
          <w:numId w:val="1028"/>
        </w:numPr>
        <w:pStyle w:val="Compact"/>
      </w:pPr>
      <w:r>
        <w:t xml:space="preserve">📊 追加华泰单源显示最新价 6.76 元、上日跌 0.73%，浮盈 5.22%，账面浮盈 1778.68 元（未计费用）；算法支撑 6.36 元、压力 7.11 元。</w:t>
      </w:r>
    </w:p>
    <w:p>
      <w:pPr>
        <w:numPr>
          <w:ilvl w:val="0"/>
          <w:numId w:val="1028"/>
        </w:numPr>
        <w:pStyle w:val="Compact"/>
      </w:pPr>
      <w:r>
        <w:t xml:space="preserve">💡 今日动作：稳健持有，优先保护已有利润。当前位于算法支撑与压力之间，不以 7.11 元必然突破为前提。</w:t>
      </w:r>
    </w:p>
    <w:p>
      <w:pPr>
        <w:numPr>
          <w:ilvl w:val="0"/>
          <w:numId w:val="1028"/>
        </w:numPr>
        <w:pStyle w:val="Compact"/>
      </w:pPr>
      <w:r>
        <w:t xml:space="preserve">🚫 减仓/离场触发：放量跌破 6.36 元且银行板块同步走弱，减仓或转清仓观察；若冲击 7.11 元明显放量滞涨，可分批兑现。</w:t>
      </w:r>
    </w:p>
    <w:p>
      <w:pPr>
        <w:numPr>
          <w:ilvl w:val="0"/>
          <w:numId w:val="1028"/>
        </w:numPr>
        <w:pStyle w:val="Compact"/>
      </w:pPr>
      <w:r>
        <w:t xml:space="preserve">✅ 条件加仓：回踩 6.36 元附近企稳并出现银行板块共振，或放量有效突破 7.11 元后回踩不破，才可小仓加仓。</w:t>
      </w:r>
    </w:p>
    <w:p>
      <w:pPr>
        <w:numPr>
          <w:ilvl w:val="0"/>
          <w:numId w:val="1028"/>
        </w:numPr>
        <w:pStyle w:val="Compact"/>
      </w:pPr>
      <w:r>
        <w:t xml:space="preserve">⚠️ 失效与风险：支撑压力为静态算法值，会动态变化；净息差、政策让利及高股息拥挤均可能削弱防御逻辑。</w:t>
      </w:r>
    </w:p>
    <w:p>
      <w:pPr>
        <w:pStyle w:val="FirstParagraph"/>
      </w:pPr>
      <w:r>
        <w:t xml:space="preserve">💼 持仓优先级：最该减仓观察为弘元绿能；最稳健持有为工商银行；风语筑与农业银行都必须满足各自确认条件才可加仓。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3" w:name="盘前执行清单"/>
      <w:r>
        <w:t xml:space="preserve">⚠️ 盘前执行清单</w:t>
      </w:r>
      <w:bookmarkEnd w:id="53"/>
    </w:p>
    <w:p>
      <w:pPr>
        <w:numPr>
          <w:ilvl w:val="0"/>
          <w:numId w:val="1029"/>
        </w:numPr>
        <w:pStyle w:val="Compact"/>
      </w:pPr>
      <w:r>
        <w:t xml:space="preserve">🔍 9:20—9:25：观察城市更新、数字贸易、油气是否有真实竞价量，避免依据 9:20 前虚单决策。</w:t>
      </w:r>
    </w:p>
    <w:p>
      <w:pPr>
        <w:numPr>
          <w:ilvl w:val="0"/>
          <w:numId w:val="1029"/>
        </w:numPr>
        <w:pStyle w:val="Compact"/>
      </w:pPr>
      <w:r>
        <w:t xml:space="preserve">💰 9:30 后：等待资金流接口恢复；没有资金证据时，不把任何方向升级为</w:t>
      </w:r>
      <w:r>
        <w:t xml:space="preserve">“</w:t>
      </w:r>
      <w:r>
        <w:t xml:space="preserve">主攻</w:t>
      </w:r>
      <w:r>
        <w:t xml:space="preserve">”</w:t>
      </w:r>
      <w:r>
        <w:t xml:space="preserve">。</w:t>
      </w:r>
    </w:p>
    <w:p>
      <w:pPr>
        <w:numPr>
          <w:ilvl w:val="0"/>
          <w:numId w:val="1029"/>
        </w:numPr>
        <w:pStyle w:val="Compact"/>
      </w:pPr>
      <w:r>
        <w:t xml:space="preserve">📈 指数：上证相对强、双创偏弱，若双创继续领跌，科技修复仓位需下调。</w:t>
      </w:r>
    </w:p>
    <w:p>
      <w:pPr>
        <w:numPr>
          <w:ilvl w:val="0"/>
          <w:numId w:val="1029"/>
        </w:numPr>
        <w:pStyle w:val="Compact"/>
      </w:pPr>
      <w:r>
        <w:t xml:space="preserve">🚫 禁止事项：追服贸会一致性高开、无条件补仓弘元绿能、把油价单日上涨外推为资源全面主升。</w:t>
      </w:r>
    </w:p>
    <w:p>
      <w:pPr>
        <w:pStyle w:val="BlockText"/>
      </w:pPr>
      <w:r>
        <w:t xml:space="preserve">📊 生成时间：2026-09-09 08:30（北京时间，Asia/Shanghai）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2026-09-09T00:38:50Z</dcterms:created>
  <dcterms:modified xsi:type="dcterms:W3CDTF">2026-09-09T00:38:50Z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