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09周三"/>
      <w:r>
        <w:t xml:space="preserve">🕐 午盘总结 | 2026-09-09（周三）</w:t>
      </w:r>
      <w:bookmarkEnd w:id="20"/>
    </w:p>
    <w:p>
      <w:pPr>
        <w:pStyle w:val="BlockText"/>
      </w:pPr>
      <w:r>
        <w:t xml:space="preserve">数据口径：指数为新浪主源，并经东方财富、腾讯交叉验证；涨跌家数与全市场成交额为同花顺单源。关键源覆盖率 3/7，资金流、板块表现、活跃个股、涨跌停样本及核心个股多源校验均采集失败，涉及这些字段的结论按</w:t>
      </w:r>
      <w:r>
        <w:t xml:space="preserve">“</w:t>
      </w:r>
      <w:r>
        <w:t xml:space="preserve">未核验</w:t>
      </w:r>
      <w:r>
        <w:t xml:space="preserve">”</w:t>
      </w:r>
      <w:r>
        <w:t xml:space="preserve">降级。华泰数据只作补充来源。</w:t>
      </w:r>
    </w:p>
    <w:p>
      <w:pPr>
        <w:pStyle w:val="Heading2"/>
      </w:pPr>
      <w:bookmarkStart w:id="21" w:name="上午行情概览"/>
      <w:r>
        <w:t xml:space="preserve">📊 上午行情概览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📈🔴 上证指数报 3949.8892 点，涨 0.237%；沪深300报 4564.4233 点，涨 0.1247%。</w:t>
      </w:r>
    </w:p>
    <w:p>
      <w:pPr>
        <w:numPr>
          <w:ilvl w:val="0"/>
          <w:numId w:val="1001"/>
        </w:numPr>
        <w:pStyle w:val="Compact"/>
      </w:pPr>
      <w:r>
        <w:t xml:space="preserve">📉🟢 深证成指报 13694.331 点，跌 0.0648%；创业板指报 3348.285 点，跌 0.3402%；科创50报 1581.4854 点，跌 0.5977%。</w:t>
      </w:r>
    </w:p>
    <w:p>
      <w:pPr>
        <w:numPr>
          <w:ilvl w:val="0"/>
          <w:numId w:val="1001"/>
        </w:numPr>
        <w:pStyle w:val="Compact"/>
      </w:pPr>
      <w:r>
        <w:t xml:space="preserve">✅ 新浪、东方财富、腾讯对五项指数的点位和涨跌幅校验一致，没有显著冲突。</w:t>
      </w:r>
    </w:p>
    <w:p>
      <w:pPr>
        <w:numPr>
          <w:ilvl w:val="0"/>
          <w:numId w:val="1001"/>
        </w:numPr>
        <w:pStyle w:val="Compact"/>
      </w:pPr>
      <w:r>
        <w:t xml:space="preserve">📊 同花顺单源显示，全市场半日成交额 12202.27 亿元；预测全天成交额 19061.85 亿元。</w:t>
      </w:r>
    </w:p>
    <w:p>
      <w:pPr>
        <w:numPr>
          <w:ilvl w:val="0"/>
          <w:numId w:val="1001"/>
        </w:numPr>
        <w:pStyle w:val="Compact"/>
      </w:pPr>
      <w:r>
        <w:t xml:space="preserve">⚠️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，不能把 12202.27 亿元与昨日全天 19782.20 亿元计算成变化百分比，也不能据此声称</w:t>
      </w:r>
      <w:r>
        <w:t xml:space="preserve">“</w:t>
      </w:r>
      <w:r>
        <w:t xml:space="preserve">同比例缩量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📉 同花顺单源涨跌家数为 1832/3545，平盘 173，停牌 10；涨停 42、跌停 4。</w:t>
      </w:r>
    </w:p>
    <w:p>
      <w:pPr>
        <w:numPr>
          <w:ilvl w:val="0"/>
          <w:numId w:val="1001"/>
        </w:numPr>
        <w:pStyle w:val="Compact"/>
      </w:pPr>
      <w:r>
        <w:t xml:space="preserve">🎭 一句话盘面：权重维持指数、双创偏弱，3545 只个股下跌，属于</w:t>
      </w:r>
      <w:r>
        <w:t xml:space="preserve">“</w:t>
      </w:r>
      <w:r>
        <w:t xml:space="preserve">指数尚稳、个股偏弱</w:t>
      </w:r>
      <w:r>
        <w:t xml:space="preserve">”</w:t>
      </w:r>
      <w:r>
        <w:t xml:space="preserve">的防御型分化。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领涨板块-top10-龙头股"/>
      <w:r>
        <w:t xml:space="preserve">🔥 领涨板块 TOP10 &amp; 龙头股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⚠️ 结构化</w:t>
      </w:r>
      <w:r>
        <w:t xml:space="preserve"> 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limit_stocks</w:t>
      </w:r>
      <w:r>
        <w:t xml:space="preserve"> </w:t>
      </w:r>
      <w:r>
        <w:t xml:space="preserve">均因东方财富 HTTP 502 失败，真实领涨板块 TOP10、对应成交额、龙头排行及涨停状态未核验，禁止补齐成完整榜单。</w:t>
      </w:r>
    </w:p>
    <w:p>
      <w:pPr>
        <w:numPr>
          <w:ilvl w:val="0"/>
          <w:numId w:val="1002"/>
        </w:numPr>
        <w:pStyle w:val="Compact"/>
      </w:pPr>
      <w:r>
        <w:t xml:space="preserve">🔎 华泰补充源单源给出四个板块线索：船舶制造涨 3.45%、煤炭涨 3.26%、航运港口涨 2.90%、元件涨 1.65%。这些数值没有本地板块结构化源交叉验证，只能用于午后观察。</w:t>
      </w:r>
    </w:p>
    <w:p>
      <w:pPr>
        <w:numPr>
          <w:ilvl w:val="0"/>
          <w:numId w:val="1002"/>
        </w:numPr>
        <w:pStyle w:val="Compact"/>
      </w:pPr>
      <w:r>
        <w:t xml:space="preserve">🚢 船舶制造/航运港口：华泰单源显示相对强势，与盘前外贸船舶线索、地缘和运力扰动方向存在共振；但缺少板块资金流、成交额和龙头行情，不能确认已形成可追涨主线。</w:t>
      </w:r>
    </w:p>
    <w:p>
      <w:pPr>
        <w:numPr>
          <w:ilvl w:val="0"/>
          <w:numId w:val="1002"/>
        </w:numPr>
        <w:pStyle w:val="Compact"/>
      </w:pPr>
      <w:r>
        <w:t xml:space="preserve">⛏️ 煤炭：华泰单源显示涨 3.26%，与盘前能源风险预案部分命中；事件驱动属性较强，午后只看回踩承接，不追脉冲高点。</w:t>
      </w:r>
    </w:p>
    <w:p>
      <w:pPr>
        <w:numPr>
          <w:ilvl w:val="0"/>
          <w:numId w:val="1002"/>
        </w:numPr>
        <w:pStyle w:val="Compact"/>
      </w:pPr>
      <w:r>
        <w:t xml:space="preserve">🔌 元件：华泰单源显示涨 1.65%。华泰筛选样本中奥士康涨 10.00%、主力净流入 4493.02 万元，金安国纪涨 1.89%、主力净流入 1.22 亿元；属于单源候选线索，不等于全市场龙头榜。</w:t>
      </w:r>
    </w:p>
    <w:p>
      <w:pPr>
        <w:pStyle w:val="Heading3"/>
      </w:pPr>
      <w:bookmarkStart w:id="23" w:name="华泰单源候选样本"/>
      <w:r>
        <w:t xml:space="preserve">🔎 华泰单源候选样本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📈 奥士康（002913）：71.25 元，涨 10.00%，主力净流入 4493.02 万元，换手率 4.88%；PCB/元件方向辨识度较高，但涨停状态未获结构化涨停源核验，午后不追高。</w:t>
      </w:r>
    </w:p>
    <w:p>
      <w:pPr>
        <w:numPr>
          <w:ilvl w:val="0"/>
          <w:numId w:val="1003"/>
        </w:numPr>
        <w:pStyle w:val="Compact"/>
      </w:pPr>
      <w:r>
        <w:t xml:space="preserve">📈 四方股份（601126）：42.49 元，涨 5.96%，主力净流入 2.35 亿元，换手率 5.05%；电力设备方向有资金样本支持，需等待板块扩散确认。</w:t>
      </w:r>
    </w:p>
    <w:p>
      <w:pPr>
        <w:numPr>
          <w:ilvl w:val="0"/>
          <w:numId w:val="1003"/>
        </w:numPr>
        <w:pStyle w:val="Compact"/>
      </w:pPr>
      <w:r>
        <w:t xml:space="preserve">📈 科陆电子（002121）：5.21 元，涨 4.83%，主力净流入 9222.48 万元，换手率 5.19%；低价电力设备样本活跃，但缺少多源行情校验。</w:t>
      </w:r>
    </w:p>
    <w:p>
      <w:pPr>
        <w:numPr>
          <w:ilvl w:val="0"/>
          <w:numId w:val="1003"/>
        </w:numPr>
        <w:pStyle w:val="Compact"/>
      </w:pPr>
      <w:r>
        <w:t xml:space="preserve">📈 炬光科技（688167）：308.28 元，涨 2.04%，主力净流入 2.64 亿元，换手率 5.17%；光学/激光方向有单股资金线索，但科创50跌 0.5977%，不宜把单股强势外推为全赛道走强。</w:t>
      </w:r>
    </w:p>
    <w:p>
      <w:pPr>
        <w:numPr>
          <w:ilvl w:val="0"/>
          <w:numId w:val="1003"/>
        </w:numPr>
        <w:pStyle w:val="Compact"/>
      </w:pPr>
      <w:r>
        <w:t xml:space="preserve">⚠️ 以上样本来自华泰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条件筛选，不是全市场主力净流入 TOP10，也不能替代缺失的板块资金榜。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向"/>
      <w:r>
        <w:t xml:space="preserve">💰 资金流向</w:t>
      </w:r>
      <w:bookmarkEnd w:id="24"/>
    </w:p>
    <w:p>
      <w:pPr>
        <w:pStyle w:val="Heading3"/>
      </w:pPr>
      <w:bookmarkStart w:id="25" w:name="主力净流入-top10"/>
      <w:r>
        <w:t xml:space="preserve">💰 主力净流入 TOP10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⚠️ 未核验。</w:t>
      </w:r>
      <w:r>
        <w:rPr>
          <w:rStyle w:val="VerbatimChar"/>
        </w:rPr>
        <w:t xml:space="preserve">sources.money_flow.ok=false</w:t>
      </w:r>
      <w:r>
        <w:t xml:space="preserve">，东方财富接口返回 HTTP 502，采集 JSON 没有真实的全市场或板块主力净流入 TOP10及对应金额。</w:t>
      </w:r>
    </w:p>
    <w:p>
      <w:pPr>
        <w:numPr>
          <w:ilvl w:val="0"/>
          <w:numId w:val="1004"/>
        </w:numPr>
        <w:pStyle w:val="Compact"/>
      </w:pPr>
      <w:r>
        <w:t xml:space="preserve">🚫 不使用搜索结果、华泰文本概述或条件选股样本伪装成 TOP10；因此本轮无法合规列出十项榜单。</w:t>
      </w:r>
    </w:p>
    <w:p>
      <w:pPr>
        <w:pStyle w:val="Heading3"/>
      </w:pPr>
      <w:bookmarkStart w:id="26" w:name="主力净流出-top10"/>
      <w:r>
        <w:t xml:space="preserve">⚠️ 主力净流出 TOP10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⚠️ 未核验。相同接口故障导致全市场或板块主力净流出 TOP10及金额缺失。</w:t>
      </w:r>
    </w:p>
    <w:p>
      <w:pPr>
        <w:numPr>
          <w:ilvl w:val="0"/>
          <w:numId w:val="1005"/>
        </w:numPr>
        <w:pStyle w:val="Compact"/>
      </w:pPr>
      <w:r>
        <w:t xml:space="preserve">🚫 华泰补充文本只描述传媒、游戏等方向承压，没有提供结构化净流出金额，不能补写为真实流出榜。</w:t>
      </w:r>
    </w:p>
    <w:p>
      <w:pPr>
        <w:pStyle w:val="Heading3"/>
      </w:pPr>
      <w:bookmarkStart w:id="27" w:name="可确认的单股资金样本非-top10"/>
      <w:r>
        <w:t xml:space="preserve">🔎 可确认的单股资金样本（非 TOP10）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💰 炬光科技净流入 2.64 亿元、四方股份 2.35 亿元、会稽山 1.41 亿元、金安国纪 1.22 亿元。</w:t>
      </w:r>
    </w:p>
    <w:p>
      <w:pPr>
        <w:numPr>
          <w:ilvl w:val="0"/>
          <w:numId w:val="1006"/>
        </w:numPr>
        <w:pStyle w:val="Compact"/>
      </w:pPr>
      <w:r>
        <w:t xml:space="preserve">💰 闽东电力净流入 9983.07 万元、科陆电子 9222.48 万元、中基健康 5051.94 万元、科创新源 4924.51 万元。</w:t>
      </w:r>
    </w:p>
    <w:p>
      <w:pPr>
        <w:numPr>
          <w:ilvl w:val="0"/>
          <w:numId w:val="1006"/>
        </w:numPr>
        <w:pStyle w:val="Compact"/>
      </w:pPr>
      <w:r>
        <w:t xml:space="preserve">💰 渝三峡A净流入 4601.36 万元、奥士康 4493.02 万元。</w:t>
      </w:r>
    </w:p>
    <w:p>
      <w:pPr>
        <w:numPr>
          <w:ilvl w:val="0"/>
          <w:numId w:val="1006"/>
        </w:numPr>
        <w:pStyle w:val="Compact"/>
      </w:pPr>
      <w:r>
        <w:t xml:space="preserve">⚠️ 该十项为华泰条件筛选结果，筛选逻辑包含涨幅、资金排名和换手率约束；不能称为全市场资金流入 TOP10，也没有对应净流出样本。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资金流出预警"/>
      <w:r>
        <w:t xml:space="preserve">⚠️ 资金流出预警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📉 文化传媒/游戏：华泰补充文本称板块集体承压；自选股风语筑跌 5.07%，与盘前</w:t>
      </w:r>
      <w:r>
        <w:t xml:space="preserve">“</w:t>
      </w:r>
      <w:r>
        <w:t xml:space="preserve">数字文化/服贸会</w:t>
      </w:r>
      <w:r>
        <w:t xml:space="preserve">”</w:t>
      </w:r>
      <w:r>
        <w:t xml:space="preserve">预案明显背离。由于净流出金额缺失，只能判定为价格弱势和情绪降温，不能量化资金撤退规模。</w:t>
      </w:r>
    </w:p>
    <w:p>
      <w:pPr>
        <w:numPr>
          <w:ilvl w:val="0"/>
          <w:numId w:val="1007"/>
        </w:numPr>
        <w:pStyle w:val="Compact"/>
      </w:pPr>
      <w:r>
        <w:t xml:space="preserve">📉 高位题材：华泰文本提示短线接力环境转弱，但结构化涨停样本源失败，最高连板、炸板率及具体跌停股均不作为本报告的确定事实引用。</w:t>
      </w:r>
    </w:p>
    <w:p>
      <w:pPr>
        <w:numPr>
          <w:ilvl w:val="0"/>
          <w:numId w:val="1007"/>
        </w:numPr>
        <w:pStyle w:val="Compact"/>
      </w:pPr>
      <w:r>
        <w:t xml:space="preserve">📉 双创方向：创业板指跌 0.3402%、科创50跌 0.5977%，弱于上证指数；若午后科技个股继续扩散下跌，应优先减小高弹性仓位。</w:t>
      </w:r>
    </w:p>
    <w:p>
      <w:pPr>
        <w:numPr>
          <w:ilvl w:val="0"/>
          <w:numId w:val="1007"/>
        </w:numPr>
        <w:pStyle w:val="Compact"/>
      </w:pPr>
      <w:r>
        <w:t xml:space="preserve">⚠️ 风险性质：当前更接近高位题材兑现叠加权重防御，而不是全面指数下杀；但 3545 只个股下跌说明赚钱效应已经偏弱。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盘前预判-vs-实盘"/>
      <w:r>
        <w:t xml:space="preserve">🎯 盘前预判 vs 实盘</w:t>
      </w:r>
      <w:bookmarkEnd w:id="29"/>
    </w:p>
    <w:p>
      <w:pPr>
        <w:pStyle w:val="Heading3"/>
      </w:pPr>
      <w:bookmarkStart w:id="30" w:name="命中点"/>
      <w:r>
        <w:t xml:space="preserve">✅ 命中点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📈</w:t>
      </w:r>
      <w:r>
        <w:t xml:space="preserve"> </w:t>
      </w:r>
      <w:r>
        <w:t xml:space="preserve">“</w:t>
      </w:r>
      <w:r>
        <w:t xml:space="preserve">震荡分化</w:t>
      </w:r>
      <w:r>
        <w:t xml:space="preserve">”</w:t>
      </w:r>
      <w:r>
        <w:t xml:space="preserve">命中：上证涨 0.237%，创业板指跌 0.3402%，沪强深弱与权重护盘特征延续。</w:t>
      </w:r>
    </w:p>
    <w:p>
      <w:pPr>
        <w:numPr>
          <w:ilvl w:val="0"/>
          <w:numId w:val="1008"/>
        </w:numPr>
        <w:pStyle w:val="Compact"/>
      </w:pPr>
      <w:r>
        <w:t xml:space="preserve">⛏️ 能源事件方向部分命中：华泰单源显示煤炭涨 3.26%、航运港口涨 2.90%，与盘前油气资源和地缘扰动预案同属防御/事件链。</w:t>
      </w:r>
    </w:p>
    <w:p>
      <w:pPr>
        <w:numPr>
          <w:ilvl w:val="0"/>
          <w:numId w:val="1008"/>
        </w:numPr>
        <w:pStyle w:val="Compact"/>
      </w:pPr>
      <w:r>
        <w:t xml:space="preserve">⚠️ 不追高与控制仓位判断有效：1832/3545 的涨跌家数和 42/4 的涨跌停分布显示指数红盘并未带来普遍赚钱效应。</w:t>
      </w:r>
    </w:p>
    <w:p>
      <w:pPr>
        <w:pStyle w:val="Heading3"/>
      </w:pPr>
      <w:bookmarkStart w:id="31" w:name="偏差点"/>
      <w:r>
        <w:t xml:space="preserve">❌ 偏差点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📉 服务贸易—数字文化方向未获实盘确认：风语筑跌 5.07%，华泰文本同时指向传媒、游戏走弱，盘前该方向的参与条件没有满足。</w:t>
      </w:r>
    </w:p>
    <w:p>
      <w:pPr>
        <w:numPr>
          <w:ilvl w:val="0"/>
          <w:numId w:val="1009"/>
        </w:numPr>
        <w:pStyle w:val="Compact"/>
      </w:pPr>
      <w:r>
        <w:t xml:space="preserve">⚠️ 城市更新方向未核验：板块表现、资金流和活跃股数据全部缺失，既不能判定命中，也不能判定全面失败。</w:t>
      </w:r>
    </w:p>
    <w:p>
      <w:pPr>
        <w:numPr>
          <w:ilvl w:val="0"/>
          <w:numId w:val="1009"/>
        </w:numPr>
        <w:pStyle w:val="Compact"/>
      </w:pPr>
      <w:r>
        <w:t xml:space="preserve">🔌 盘前未重点覆盖的元件/电力设备出现华泰单源强势样本，但因板块资金、成交额和涨停扩散缺失，只能列为午后条件观察，不能直接升级为主攻方向。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下午盘操作建议"/>
      <w:r>
        <w:t xml:space="preserve">🎯 下午盘操作建议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🎭 市场判断：偏弱/防御。指数平均涨跌幅为 -0.13%（采集派生值），个股下跌数量显著多于上涨数量；下午先防回落，再等结构修复。</w:t>
      </w:r>
    </w:p>
    <w:p>
      <w:pPr>
        <w:numPr>
          <w:ilvl w:val="0"/>
          <w:numId w:val="1010"/>
        </w:numPr>
        <w:pStyle w:val="Compact"/>
      </w:pPr>
      <w:r>
        <w:t xml:space="preserve">💡 激进：总仓位不高于 40%。只允许在煤炭/航运或元件/电力设备中选择一个最强方向，小仓参与回踩后重新走强的前排，不做一致性追涨。</w:t>
      </w:r>
    </w:p>
    <w:p>
      <w:pPr>
        <w:numPr>
          <w:ilvl w:val="0"/>
          <w:numId w:val="1010"/>
        </w:numPr>
        <w:pStyle w:val="Compact"/>
      </w:pPr>
      <w:r>
        <w:t xml:space="preserve">💡 稳健：总仓位不高于 25%。等待上证站稳上午区间、创业板和科创50跌幅收窄，并看到候选板块至少两只核心股同步增强后再参与。</w:t>
      </w:r>
    </w:p>
    <w:p>
      <w:pPr>
        <w:numPr>
          <w:ilvl w:val="0"/>
          <w:numId w:val="1010"/>
        </w:numPr>
        <w:pStyle w:val="Compact"/>
      </w:pPr>
      <w:r>
        <w:t xml:space="preserve">💡 保守：总仓位不高于 10%。以现金和银行防御观察为主，等待资金流及结构化板块数据恢复。</w:t>
      </w:r>
    </w:p>
    <w:p>
      <w:pPr>
        <w:numPr>
          <w:ilvl w:val="0"/>
          <w:numId w:val="1010"/>
        </w:numPr>
        <w:pStyle w:val="Compact"/>
      </w:pPr>
      <w:r>
        <w:t xml:space="preserve">🚫 回避/减仓：文化传媒、游戏和无资金确认的高位题材；若个股反抽不能收复上午关键跌幅，不把下跌当成低吸理由。</w:t>
      </w:r>
    </w:p>
    <w:p>
      <w:pPr>
        <w:numPr>
          <w:ilvl w:val="0"/>
          <w:numId w:val="1010"/>
        </w:numPr>
        <w:pStyle w:val="Compact"/>
      </w:pPr>
      <w:r>
        <w:t xml:space="preserve">⚠️ 量能提示：只引用半日成交额 12202.27 亿元，不使用未经核验的成交额变化百分比；预测全天 19061.85 亿元仅作同花顺单源参考。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下午投资方向分层"/>
      <w:r>
        <w:t xml:space="preserve">🎯 下午投资方向分层</w:t>
      </w:r>
      <w:bookmarkEnd w:id="33"/>
    </w:p>
    <w:p>
      <w:pPr>
        <w:pStyle w:val="Heading3"/>
      </w:pPr>
      <w:bookmarkStart w:id="34" w:name="方向一煤炭航运港口能源运输可参与优先级高"/>
      <w:r>
        <w:t xml:space="preserve">🚀 方向一：煤炭—航运港口/能源运输（可参与，优先级：高）</w:t>
      </w:r>
      <w:bookmarkEnd w:id="34"/>
    </w:p>
    <w:p>
      <w:pPr>
        <w:numPr>
          <w:ilvl w:val="0"/>
          <w:numId w:val="1011"/>
        </w:numPr>
        <w:pStyle w:val="Compact"/>
      </w:pPr>
      <w:r>
        <w:t xml:space="preserve">📌 证据链：华泰单源显示煤炭涨 3.26%、航运港口涨 2.90%；盘前已确认 WTI 原油涨 1.65%及地缘能源风险；上证涨 0.237%而双创下跌，市场风格偏防御。</w:t>
      </w:r>
    </w:p>
    <w:p>
      <w:pPr>
        <w:numPr>
          <w:ilvl w:val="0"/>
          <w:numId w:val="1011"/>
        </w:numPr>
        <w:pStyle w:val="Compact"/>
      </w:pPr>
      <w:r>
        <w:t xml:space="preserve">🔥 核心标的：结构化活跃股和板块成分行情缺失，无法合规给出 2-5 只经核验个股；午后以煤炭、航运行业 ETF 或成交额前排作为观察工具，具体个股须待行情源恢复后确定。</w:t>
      </w:r>
    </w:p>
    <w:p>
      <w:pPr>
        <w:numPr>
          <w:ilvl w:val="0"/>
          <w:numId w:val="1011"/>
        </w:numPr>
        <w:pStyle w:val="Compact"/>
      </w:pPr>
      <w:r>
        <w:t xml:space="preserve">💡 参与策略：激进只做回踩承接；稳健等待板块再次放量并与指数共振；保守不参与事件脉冲。</w:t>
      </w:r>
    </w:p>
    <w:p>
      <w:pPr>
        <w:numPr>
          <w:ilvl w:val="0"/>
          <w:numId w:val="1011"/>
        </w:numPr>
        <w:pStyle w:val="Compact"/>
      </w:pPr>
      <w:r>
        <w:t xml:space="preserve">✅ 触发条件：板块午后维持红盘并再次增强，核心品种不跌破上午回踩低点，指数不出现共振下杀。</w:t>
      </w:r>
    </w:p>
    <w:p>
      <w:pPr>
        <w:numPr>
          <w:ilvl w:val="0"/>
          <w:numId w:val="1011"/>
        </w:numPr>
        <w:pStyle w:val="Compact"/>
      </w:pPr>
      <w:r>
        <w:t xml:space="preserve">🚫 失效条件：煤炭/航运快速回吐、油价事件溢价减弱，或板块从普涨退化为单股脉冲。</w:t>
      </w:r>
    </w:p>
    <w:p>
      <w:pPr>
        <w:numPr>
          <w:ilvl w:val="0"/>
          <w:numId w:val="1011"/>
        </w:numPr>
        <w:pStyle w:val="Compact"/>
      </w:pPr>
      <w:r>
        <w:t xml:space="preserve">⚠️ 风险：地缘催化反转、高位兑现、油价上涨抬升下游成本；缺少结构化资金流是主要证据短板。</w:t>
      </w:r>
    </w:p>
    <w:p>
      <w:pPr>
        <w:pStyle w:val="Heading3"/>
      </w:pPr>
      <w:bookmarkStart w:id="35" w:name="方向二电子元件pcb电力设备只观察优先级中"/>
      <w:r>
        <w:t xml:space="preserve">🚀 方向二：电子元件—PCB/电力设备（只观察，优先级：中）</w:t>
      </w:r>
      <w:bookmarkEnd w:id="35"/>
    </w:p>
    <w:p>
      <w:pPr>
        <w:numPr>
          <w:ilvl w:val="0"/>
          <w:numId w:val="1012"/>
        </w:numPr>
        <w:pStyle w:val="Compact"/>
      </w:pPr>
      <w:r>
        <w:t xml:space="preserve">📌 证据链：华泰单源元件板块涨 1.65%；奥士康涨 10.00%、净流入 4493.02 万元；四方股份涨 5.96%、净流入 2.35 亿元；科陆电子涨 4.83%、净流入 9222.48 万元。</w:t>
      </w:r>
    </w:p>
    <w:p>
      <w:pPr>
        <w:numPr>
          <w:ilvl w:val="0"/>
          <w:numId w:val="1012"/>
        </w:numPr>
        <w:pStyle w:val="Compact"/>
      </w:pPr>
      <w:r>
        <w:t xml:space="preserve">🔥 核心标的：奥士康（PCB/元件强势样本）、四方股份（电力设备资金样本）、科陆电子（电力设备活跃样本）、金安国纪（元件材料，净流入 1.22 亿元）。</w:t>
      </w:r>
    </w:p>
    <w:p>
      <w:pPr>
        <w:numPr>
          <w:ilvl w:val="0"/>
          <w:numId w:val="1012"/>
        </w:numPr>
        <w:pStyle w:val="Compact"/>
      </w:pPr>
      <w:r>
        <w:t xml:space="preserve">💡 参与策略：激进也不追奥士康 10.00%的高位；稳健等午后分歧回踩与板块扩散；保守继续观察。</w:t>
      </w:r>
    </w:p>
    <w:p>
      <w:pPr>
        <w:numPr>
          <w:ilvl w:val="0"/>
          <w:numId w:val="1012"/>
        </w:numPr>
        <w:pStyle w:val="Compact"/>
      </w:pPr>
      <w:r>
        <w:t xml:space="preserve">✅ 触发条件：元件板块保持强势，奥士康不出现明显开板回落，四方股份、科陆电子至少一只继续放量走强。</w:t>
      </w:r>
    </w:p>
    <w:p>
      <w:pPr>
        <w:numPr>
          <w:ilvl w:val="0"/>
          <w:numId w:val="1012"/>
        </w:numPr>
        <w:pStyle w:val="Compact"/>
      </w:pPr>
      <w:r>
        <w:t xml:space="preserve">🚫 失效条件：奥士康快速回落、样本股涨幅同步收窄，或创业板/科创50继续扩大跌幅。</w:t>
      </w:r>
    </w:p>
    <w:p>
      <w:pPr>
        <w:numPr>
          <w:ilvl w:val="0"/>
          <w:numId w:val="1012"/>
        </w:numPr>
        <w:pStyle w:val="Compact"/>
      </w:pPr>
      <w:r>
        <w:t xml:space="preserve">⚠️ 风险：华泰为单源、个股多源校验失败、涨停状态未核验；不同细分行业不能因同日上涨被强行视为统一主线。</w:t>
      </w:r>
    </w:p>
    <w:p>
      <w:pPr>
        <w:pStyle w:val="Heading3"/>
      </w:pPr>
      <w:bookmarkStart w:id="36" w:name="方向三银行高股息防御只观察优先级中"/>
      <w:r>
        <w:t xml:space="preserve">🚀 方向三：银行—高股息防御（只观察，优先级：中）</w:t>
      </w:r>
      <w:bookmarkEnd w:id="36"/>
    </w:p>
    <w:p>
      <w:pPr>
        <w:numPr>
          <w:ilvl w:val="0"/>
          <w:numId w:val="1013"/>
        </w:numPr>
        <w:pStyle w:val="Compact"/>
      </w:pPr>
      <w:r>
        <w:t xml:space="preserve">📌 证据链：工商银行午盘报 8.00 元、涨 0.76%；上证和沪深300分别涨 0.237%、0.1247%；涨跌家数 1832/3545，防御资产相对占优。</w:t>
      </w:r>
    </w:p>
    <w:p>
      <w:pPr>
        <w:numPr>
          <w:ilvl w:val="0"/>
          <w:numId w:val="1013"/>
        </w:numPr>
        <w:pStyle w:val="Compact"/>
      </w:pPr>
      <w:r>
        <w:t xml:space="preserve">🔥 核心标的：工商银行（601398，自选股且午盘上涨）；农业银行行情未包含在本轮午盘采集，不补写最新价或涨跌幅。</w:t>
      </w:r>
    </w:p>
    <w:p>
      <w:pPr>
        <w:numPr>
          <w:ilvl w:val="0"/>
          <w:numId w:val="1013"/>
        </w:numPr>
        <w:pStyle w:val="Compact"/>
      </w:pPr>
      <w:r>
        <w:t xml:space="preserve">💡 参与策略：激进不参与；稳健以已有仓位持有观察为主；保守只在指数回落时观察防御相对强度，不追涨加仓。</w:t>
      </w:r>
    </w:p>
    <w:p>
      <w:pPr>
        <w:numPr>
          <w:ilvl w:val="0"/>
          <w:numId w:val="1013"/>
        </w:numPr>
        <w:pStyle w:val="Compact"/>
      </w:pPr>
      <w:r>
        <w:t xml:space="preserve">✅ 触发条件：工商银行稳定在 8.00 元附近或更强，银行板块与沪深300同步维持红盘。</w:t>
      </w:r>
    </w:p>
    <w:p>
      <w:pPr>
        <w:numPr>
          <w:ilvl w:val="0"/>
          <w:numId w:val="1013"/>
        </w:numPr>
        <w:pStyle w:val="Compact"/>
      </w:pPr>
      <w:r>
        <w:t xml:space="preserve">🚫 失效条件：工商银行跌回 7.94 元昨收价下方且银行板块同步转弱。</w:t>
      </w:r>
    </w:p>
    <w:p>
      <w:pPr>
        <w:numPr>
          <w:ilvl w:val="0"/>
          <w:numId w:val="1013"/>
        </w:numPr>
        <w:pStyle w:val="Compact"/>
      </w:pPr>
      <w:r>
        <w:t xml:space="preserve">⚠️ 风险：高股息交易拥挤、净息差压力；单只银行股走强不能证明整个板块资金持续流入。</w:t>
      </w:r>
    </w:p>
    <w:p>
      <w:pPr>
        <w:pStyle w:val="Heading3"/>
      </w:pPr>
      <w:bookmarkStart w:id="37" w:name="方向四文化传媒游戏数字展陈应回避"/>
      <w:r>
        <w:t xml:space="preserve">🚫 方向四：文化传媒—游戏/数字展陈（应回避）</w:t>
      </w:r>
      <w:bookmarkEnd w:id="37"/>
    </w:p>
    <w:p>
      <w:pPr>
        <w:numPr>
          <w:ilvl w:val="0"/>
          <w:numId w:val="1014"/>
        </w:numPr>
        <w:pStyle w:val="Compact"/>
      </w:pPr>
      <w:r>
        <w:t xml:space="preserve">📌 证据链：华泰补充文本指向传媒、游戏承压；风语筑午盘跌 5.07%；盘前服贸会/数字文化催化没有转化为自选股正反馈。</w:t>
      </w:r>
    </w:p>
    <w:p>
      <w:pPr>
        <w:numPr>
          <w:ilvl w:val="0"/>
          <w:numId w:val="1014"/>
        </w:numPr>
        <w:pStyle w:val="Compact"/>
      </w:pPr>
      <w:r>
        <w:t xml:space="preserve">🔥 核心观察：风语筑（603466，数字展陈，自选股）；其他传媒龙头与涨跌停样本未核验，不补写。</w:t>
      </w:r>
    </w:p>
    <w:p>
      <w:pPr>
        <w:numPr>
          <w:ilvl w:val="0"/>
          <w:numId w:val="1014"/>
        </w:numPr>
        <w:pStyle w:val="Compact"/>
      </w:pPr>
      <w:r>
        <w:t xml:space="preserve">💡 参与策略：不抄底、不做事件日逆势加仓；已有仓位以反抽减压和风险控制为主。</w:t>
      </w:r>
    </w:p>
    <w:p>
      <w:pPr>
        <w:numPr>
          <w:ilvl w:val="0"/>
          <w:numId w:val="1014"/>
        </w:numPr>
        <w:pStyle w:val="Compact"/>
      </w:pPr>
      <w:r>
        <w:t xml:space="preserve">✅ 重新观察条件：风语筑收复 12.62 元昨收价且板块出现多股同步修复。</w:t>
      </w:r>
    </w:p>
    <w:p>
      <w:pPr>
        <w:numPr>
          <w:ilvl w:val="0"/>
          <w:numId w:val="1014"/>
        </w:numPr>
        <w:pStyle w:val="Compact"/>
      </w:pPr>
      <w:r>
        <w:t xml:space="preserve">🚫 失效条件：继续放量下跌、接近 11.36 元跌停价，或板块弱势扩散。</w:t>
      </w:r>
    </w:p>
    <w:p>
      <w:pPr>
        <w:numPr>
          <w:ilvl w:val="0"/>
          <w:numId w:val="1014"/>
        </w:numPr>
        <w:pStyle w:val="Compact"/>
      </w:pPr>
      <w:r>
        <w:t xml:space="preserve">⚠️ 风险：高位题材退潮、监管预期、服贸会催化</w:t>
      </w:r>
      <w:r>
        <w:t xml:space="preserve">“</w:t>
      </w:r>
      <w:r>
        <w:t xml:space="preserve">见光死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华泰自选股观察"/>
      <w:r>
        <w:t xml:space="preserve">🧾 华泰自选股观察</w:t>
      </w:r>
      <w:bookmarkEnd w:id="38"/>
    </w:p>
    <w:p>
      <w:pPr>
        <w:pStyle w:val="FirstParagraph"/>
      </w:pPr>
      <w:r>
        <w:t xml:space="preserve">自选股共 3 只，午盘行情全部取得；因</w:t>
      </w:r>
      <w:r>
        <w:t xml:space="preserve"> </w:t>
      </w:r>
      <w:r>
        <w:rPr>
          <w:rStyle w:val="VerbatimChar"/>
        </w:rPr>
        <w:t xml:space="preserve">stock_quote_cross_checks.ok=false</w:t>
      </w:r>
      <w:r>
        <w:t xml:space="preserve">，均按华泰单源使用。工商银行与防御风格相对共振；弘元绿能和风语筑以跟踪为主、暂不作为主攻方向。</w:t>
      </w:r>
    </w:p>
    <w:p>
      <w:pPr>
        <w:numPr>
          <w:ilvl w:val="0"/>
          <w:numId w:val="1015"/>
        </w:numPr>
        <w:pStyle w:val="Compact"/>
      </w:pPr>
      <w:r>
        <w:t xml:space="preserve">📉 弘元绿能（603185）：最新价 14.85 元，跌 0.80%，买一 14.83 元、卖一 14.85 元。所属光伏硅片/光伏制造；本轮缺少光伏板块涨幅、资金流和活跃股数据，与上午防御主线没有明确共振。判断：偏弱、继续观察，以跟踪为主、暂不作为主攻方向；不因深度浮亏无条件补仓，只有重回 14.97 元昨收价上方且光伏板块同步转强才可低吸跟踪。</w:t>
      </w:r>
    </w:p>
    <w:p>
      <w:pPr>
        <w:numPr>
          <w:ilvl w:val="0"/>
          <w:numId w:val="1015"/>
        </w:numPr>
        <w:pStyle w:val="Compact"/>
      </w:pPr>
      <w:r>
        <w:t xml:space="preserve">📉 风语筑（603466）：最新价 11.98 元，跌 5.07%，买一 11.96 元、卖一 11.98 元。所属数字文化/展览展示，与盘前服贸会、文化服务方向在题材上相关，但价格表现明显背离主线预期。判断：偏弱、不抄底，以跟踪为主、暂不作为主攻方向；若不能收复 12.62 元昨收价，反抽仍以减压观察为主，接近 11.36 元跌停价时优先控制风险。</w:t>
      </w:r>
    </w:p>
    <w:p>
      <w:pPr>
        <w:numPr>
          <w:ilvl w:val="0"/>
          <w:numId w:val="1015"/>
        </w:numPr>
        <w:pStyle w:val="Compact"/>
      </w:pPr>
      <w:r>
        <w:t xml:space="preserve">📈 工商银行（601398）：最新价 8.00 元，涨 0.76%，买一 8.00 元、卖一 8.01 元。所属银行/高股息，和上午</w:t>
      </w:r>
      <w:r>
        <w:t xml:space="preserve">“</w:t>
      </w:r>
      <w:r>
        <w:t xml:space="preserve">权重稳指数、个股偏弱</w:t>
      </w:r>
      <w:r>
        <w:t xml:space="preserve">”</w:t>
      </w:r>
      <w:r>
        <w:t xml:space="preserve">的防御风格共振，但与煤炭、航运等事件主线无直接关系。判断：偏强、稳健持有观察，不追高；若跌回 7.94 元昨收价下方且银行板块同步转弱，则降低防御预期。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午后执行清单"/>
      <w:r>
        <w:t xml:space="preserve">⚠️ 午后执行清单</w:t>
      </w:r>
      <w:bookmarkEnd w:id="39"/>
    </w:p>
    <w:p>
      <w:pPr>
        <w:numPr>
          <w:ilvl w:val="0"/>
          <w:numId w:val="1016"/>
        </w:numPr>
        <w:pStyle w:val="Compact"/>
      </w:pPr>
      <w:r>
        <w:t xml:space="preserve">🔍 先看指数：上证能否守住红盘，创业板与科创50能否收窄跌幅；若双创继续走弱，降低高弹性仓位。</w:t>
      </w:r>
    </w:p>
    <w:p>
      <w:pPr>
        <w:numPr>
          <w:ilvl w:val="0"/>
          <w:numId w:val="1016"/>
        </w:numPr>
        <w:pStyle w:val="Compact"/>
      </w:pPr>
      <w:r>
        <w:t xml:space="preserve">💰 再看资金：结构化资金流 TOP10 当前缺失，接口恢复前不把任何方向升级为</w:t>
      </w:r>
      <w:r>
        <w:t xml:space="preserve">“</w:t>
      </w:r>
      <w:r>
        <w:t xml:space="preserve">资金确认主线</w:t>
      </w:r>
      <w:r>
        <w:t xml:space="preserve">”</w:t>
      </w:r>
      <w:r>
        <w:t xml:space="preserve">。</w:t>
      </w:r>
    </w:p>
    <w:p>
      <w:pPr>
        <w:numPr>
          <w:ilvl w:val="0"/>
          <w:numId w:val="1016"/>
        </w:numPr>
        <w:pStyle w:val="Compact"/>
      </w:pPr>
      <w:r>
        <w:t xml:space="preserve">🚢 可参与条件：煤炭/航运回踩后再度增强，且不是单股脉冲。</w:t>
      </w:r>
    </w:p>
    <w:p>
      <w:pPr>
        <w:numPr>
          <w:ilvl w:val="0"/>
          <w:numId w:val="1016"/>
        </w:numPr>
        <w:pStyle w:val="Compact"/>
      </w:pPr>
      <w:r>
        <w:t xml:space="preserve">🔌 只观察条件：元件/电力设备样本保持联动，奥士康不出现明显高位回落。</w:t>
      </w:r>
    </w:p>
    <w:p>
      <w:pPr>
        <w:numPr>
          <w:ilvl w:val="0"/>
          <w:numId w:val="1016"/>
        </w:numPr>
        <w:pStyle w:val="Compact"/>
      </w:pPr>
      <w:r>
        <w:t xml:space="preserve">🚫 回避条件：传媒/游戏弱势延续；风语筑未收复 12.62 元前不执行加仓。</w:t>
      </w:r>
    </w:p>
    <w:p>
      <w:pPr>
        <w:numPr>
          <w:ilvl w:val="0"/>
          <w:numId w:val="1016"/>
        </w:numPr>
        <w:pStyle w:val="Compact"/>
      </w:pPr>
      <w:r>
        <w:t xml:space="preserve">💡 仓位上限：激进 40%、稳健 25%、保守 10%，与采集 JSON 的派生仓位模型一致。</w:t>
      </w:r>
    </w:p>
    <w:p>
      <w:pPr>
        <w:pStyle w:val="BlockText"/>
      </w:pPr>
      <w:r>
        <w:t xml:space="preserve">📊 生成时间：2026-09-09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2026-09-09T03:52:14Z</dcterms:created>
  <dcterms:modified xsi:type="dcterms:W3CDTF">2026-09-09T03:52:14Z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