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盘前简报-2026-09-08周二"/>
      <w:r>
        <w:t xml:space="preserve">🌅 盘前简报 | 2026-09-08（周二）</w:t>
      </w:r>
      <w:bookmarkEnd w:id="20"/>
    </w:p>
    <w:p>
      <w:pPr>
        <w:pStyle w:val="BlockText"/>
      </w:pPr>
      <w:r>
        <w:t xml:space="preserve">数据基准：A股行情为 2026-09-07 收盘；境外商品、A50 与汇率截至 2026-09-08 08:30 前后。关键数据源覆盖 3/7，资金流、板块排行、活跃股、涨跌停样本及公告源采集失败，本报告按</w:t>
      </w:r>
      <w:r>
        <w:t xml:space="preserve">“</w:t>
      </w:r>
      <w:r>
        <w:t xml:space="preserve">未核验</w:t>
      </w:r>
      <w:r>
        <w:t xml:space="preserve">”</w:t>
      </w:r>
      <w:r>
        <w:t xml:space="preserve">降级，不补造榜单或数值。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隔夜全球市场"/>
      <w:r>
        <w:t xml:space="preserve">🌐 隔夜全球市场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🇺🇸 美股：9月7日因美国劳动节休市，道指、标普500、纳指没有当日收盘涨跌幅；不以前一交易日数据冒充隔夜行情。华泰市场洞察提到海外利率预期升温，但该项为文本补充，未获本轮结构化行情交叉验证。</w:t>
      </w:r>
    </w:p>
    <w:p>
      <w:pPr>
        <w:numPr>
          <w:ilvl w:val="0"/>
          <w:numId w:val="1001"/>
        </w:numPr>
        <w:pStyle w:val="Compact"/>
      </w:pPr>
      <w:r>
        <w:t xml:space="preserve">🇨🇳 中概股：美股休市，重点中概股没有9月7日常规交易收盘表现可写，盘前以跟踪为主。</w:t>
      </w:r>
    </w:p>
    <w:p>
      <w:pPr>
        <w:numPr>
          <w:ilvl w:val="0"/>
          <w:numId w:val="1001"/>
        </w:numPr>
        <w:pStyle w:val="Compact"/>
      </w:pPr>
      <w:r>
        <w:t xml:space="preserve">🇪🇺 欧洲股市：可确认欧洲主要市场开盘后整体偏弱、油气相对占优、医疗偏弱；完整收盘点位与涨跌幅未由采集 JSON 核验，因此不列具体数值。</w:t>
      </w:r>
    </w:p>
    <w:p>
      <w:pPr>
        <w:numPr>
          <w:ilvl w:val="0"/>
          <w:numId w:val="1001"/>
        </w:numPr>
        <w:pStyle w:val="Compact"/>
      </w:pPr>
      <w:r>
        <w:t xml:space="preserve">🇭🇰 港股：恒生指数9月7日收于 25650.871 点，📉下跌 0.93%；今日港股尚未开盘，不能写作</w:t>
      </w:r>
      <w:r>
        <w:t xml:space="preserve">“</w:t>
      </w:r>
      <w:r>
        <w:t xml:space="preserve">港股早盘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🇨🇳 富时A50期指：14652.5 点，📉下跌 0.11%，对A股开盘指向轻微偏谨慎，不构成单独做空信号。</w:t>
      </w:r>
    </w:p>
    <w:p>
      <w:pPr>
        <w:numPr>
          <w:ilvl w:val="0"/>
          <w:numId w:val="1001"/>
        </w:numPr>
        <w:pStyle w:val="Compact"/>
      </w:pPr>
      <w:r>
        <w:t xml:space="preserve">💱 美元离岸人民币：6.7073，变动 -0.03%；人民币端暂未呈现明显外部压力。</w:t>
      </w:r>
    </w:p>
    <w:p>
      <w:pPr>
        <w:numPr>
          <w:ilvl w:val="0"/>
          <w:numId w:val="1001"/>
        </w:numPr>
        <w:pStyle w:val="Compact"/>
      </w:pPr>
      <w:r>
        <w:t xml:space="preserve">🟡 COMEX黄金：4468.662，📉下跌 0.18%；🛢️ WTI原油：92.324，📈上涨 0.92%；🟠伦铜：14526.32，📈上涨 0.12%。</w:t>
      </w:r>
    </w:p>
    <w:p>
      <w:pPr>
        <w:numPr>
          <w:ilvl w:val="0"/>
          <w:numId w:val="1001"/>
        </w:numPr>
        <w:pStyle w:val="Compact"/>
      </w:pPr>
      <w:r>
        <w:t xml:space="preserve">⚠️ 外部组合信号：油价走强叠加中东冲突风险，利多油气与油服的事件弹性，但会增加运输、化工下游和通胀预期压力；高油价方向不宜开盘追涨。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新闻联播政策面"/>
      <w:r>
        <w:t xml:space="preserve">📺 新闻联播政策面</w:t>
      </w:r>
      <w:bookmarkEnd w:id="22"/>
    </w:p>
    <w:p>
      <w:pPr>
        <w:pStyle w:val="BlockText"/>
      </w:pPr>
      <w:r>
        <w:t xml:space="preserve">央视结构化抓取失败，本节按规定降级使用 2026-09-07《每日新闻联播》文字版。共核验到14个节目目录标题；下列标题与降级来源目录一致。来源：http://mrxwlb.com/2026/09/07/2026年09月07日新闻联播文字版/</w:t>
      </w:r>
    </w:p>
    <w:p>
      <w:pPr>
        <w:pStyle w:val="Heading3"/>
      </w:pPr>
      <w:bookmarkStart w:id="23" w:name="总体分析"/>
      <w:r>
        <w:t xml:space="preserve">📌 总体分析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📈 政策主线一是重大水利、交通与运河工程持续推进，利好工程建设、建材、工程机械及港口航运的订单预期，力度属于</w:t>
      </w:r>
      <w:r>
        <w:t xml:space="preserve">“</w:t>
      </w:r>
      <w:r>
        <w:t xml:space="preserve">项目进度确认</w:t>
      </w:r>
      <w:r>
        <w:t xml:space="preserve">”</w:t>
      </w:r>
      <w:r>
        <w:t xml:space="preserve">，仍需资金与订单验证。</w:t>
      </w:r>
    </w:p>
    <w:p>
      <w:pPr>
        <w:numPr>
          <w:ilvl w:val="0"/>
          <w:numId w:val="1002"/>
        </w:numPr>
        <w:pStyle w:val="Compact"/>
      </w:pPr>
      <w:r>
        <w:t xml:space="preserve">📈 政策主线二是数字贸易与AI应用，数贸会将展示大模型、行业应用、智能终端和具身智能，属于明确会展催化，但距9月23日开幕尚有时间，今日不宜把预期直接等同业绩。</w:t>
      </w:r>
    </w:p>
    <w:p>
      <w:pPr>
        <w:numPr>
          <w:ilvl w:val="0"/>
          <w:numId w:val="1002"/>
        </w:numPr>
        <w:pStyle w:val="Compact"/>
      </w:pPr>
      <w:r>
        <w:t xml:space="preserve">📈 政策主线三是历史经典产业升级与乡村振兴投入机制，受益方向包括品牌消费、中药、文化产业、农业保险与乡村基础设施，政策力度偏实质，但短线资金承接未核验。</w:t>
      </w:r>
    </w:p>
    <w:p>
      <w:pPr>
        <w:numPr>
          <w:ilvl w:val="0"/>
          <w:numId w:val="1002"/>
        </w:numPr>
        <w:pStyle w:val="Compact"/>
      </w:pPr>
      <w:r>
        <w:t xml:space="preserve">⚠️ 国际风险集中在霍尔木兹周边冲突、也门交火及油运扰动；WTI已上涨0.92%，需要防范能源价格继续上冲对风险偏好和成本端的压制。</w:t>
      </w:r>
    </w:p>
    <w:p>
      <w:pPr>
        <w:numPr>
          <w:ilvl w:val="0"/>
          <w:numId w:val="1002"/>
        </w:numPr>
        <w:pStyle w:val="Compact"/>
      </w:pPr>
      <w:r>
        <w:t xml:space="preserve">💡 今日最可执行的政策观察顺序：AI应用/数字贸易 → 水利交通基础设施 → 油气事件驱动；均须等待开盘后板块资金和成交确认。</w:t>
      </w:r>
    </w:p>
    <w:p>
      <w:pPr>
        <w:pStyle w:val="Heading3"/>
      </w:pPr>
      <w:bookmarkStart w:id="24" w:name="逐条新闻解读"/>
      <w:r>
        <w:t xml:space="preserve">📰 逐条新闻解读</w:t>
      </w:r>
      <w:bookmarkEnd w:id="24"/>
    </w:p>
    <w:p>
      <w:pPr>
        <w:pStyle w:val="Heading4"/>
      </w:pPr>
      <w:bookmarkStart w:id="25" w:name="习近平生态文明思想概论出版发行"/>
      <w:r>
        <w:t xml:space="preserve">《习近平生态文明思想概论》出版发行</w:t>
      </w:r>
      <w:bookmarkEnd w:id="25"/>
    </w:p>
    <w:p>
      <w:pPr>
        <w:numPr>
          <w:ilvl w:val="0"/>
          <w:numId w:val="1003"/>
        </w:numPr>
        <w:pStyle w:val="Compact"/>
      </w:pPr>
      <w:r>
        <w:t xml:space="preserve">A股影响：中性</w:t>
      </w:r>
    </w:p>
    <w:p>
      <w:pPr>
        <w:numPr>
          <w:ilvl w:val="0"/>
          <w:numId w:val="1003"/>
        </w:numPr>
        <w:pStyle w:val="Compact"/>
      </w:pPr>
      <w:r>
        <w:t xml:space="preserve">相关板块：环保、生态治理；短期无直接业绩映射</w:t>
      </w:r>
    </w:p>
    <w:p>
      <w:pPr>
        <w:numPr>
          <w:ilvl w:val="0"/>
          <w:numId w:val="1003"/>
        </w:numPr>
        <w:pStyle w:val="Compact"/>
      </w:pPr>
      <w:r>
        <w:t xml:space="preserve">核心解读：强化生态文明长期政策框架，利好环保治理的中长期需求，但本条主要为教材出版，政策力度属长期指引。</w:t>
      </w:r>
    </w:p>
    <w:p>
      <w:pPr>
        <w:numPr>
          <w:ilvl w:val="0"/>
          <w:numId w:val="1003"/>
        </w:numPr>
        <w:pStyle w:val="Compact"/>
      </w:pPr>
      <w:r>
        <w:t xml:space="preserve">验证条件：观察环保板块是否放量、是否有后续项目或专项政策；无资金承接则不作短线催化。</w:t>
      </w:r>
    </w:p>
    <w:p>
      <w:pPr>
        <w:pStyle w:val="Heading4"/>
      </w:pPr>
      <w:bookmarkStart w:id="26" w:name="新思想引领新征程以主体功能区战略塑造发展新优势"/>
      <w:r>
        <w:t xml:space="preserve">【新思想引领新征程】以主体功能区战略塑造发展新优势</w:t>
      </w:r>
      <w:bookmarkEnd w:id="26"/>
    </w:p>
    <w:p>
      <w:pPr>
        <w:numPr>
          <w:ilvl w:val="0"/>
          <w:numId w:val="1004"/>
        </w:numPr>
        <w:pStyle w:val="Compact"/>
      </w:pPr>
      <w:r>
        <w:t xml:space="preserve">A股影响：偏利好</w:t>
      </w:r>
    </w:p>
    <w:p>
      <w:pPr>
        <w:numPr>
          <w:ilvl w:val="0"/>
          <w:numId w:val="1004"/>
        </w:numPr>
        <w:pStyle w:val="Compact"/>
      </w:pPr>
      <w:r>
        <w:t xml:space="preserve">相关板块：国土规划、生态修复、粮食安全、区域基建</w:t>
      </w:r>
    </w:p>
    <w:p>
      <w:pPr>
        <w:numPr>
          <w:ilvl w:val="0"/>
          <w:numId w:val="1004"/>
        </w:numPr>
        <w:pStyle w:val="Compact"/>
      </w:pPr>
      <w:r>
        <w:t xml:space="preserve">核心解读：主体功能区向乡镇延伸并强化差异化政策，可能带来规划数字化、生态治理和农业基础设施需求。</w:t>
      </w:r>
    </w:p>
    <w:p>
      <w:pPr>
        <w:numPr>
          <w:ilvl w:val="0"/>
          <w:numId w:val="1004"/>
        </w:numPr>
        <w:pStyle w:val="Compact"/>
      </w:pPr>
      <w:r>
        <w:t xml:space="preserve">验证条件：相关板块成交放大、政策细则或订单落地；若仅概念脉冲且资金回落，映射失效。</w:t>
      </w:r>
    </w:p>
    <w:p>
      <w:pPr>
        <w:pStyle w:val="Heading4"/>
      </w:pPr>
      <w:bookmarkStart w:id="27" w:name="李强会见卡塔尔首相兼外交大臣"/>
      <w:r>
        <w:t xml:space="preserve">李强会见卡塔尔首相兼外交大臣</w:t>
      </w:r>
      <w:bookmarkEnd w:id="27"/>
    </w:p>
    <w:p>
      <w:pPr>
        <w:numPr>
          <w:ilvl w:val="0"/>
          <w:numId w:val="1005"/>
        </w:numPr>
        <w:pStyle w:val="Compact"/>
      </w:pPr>
      <w:r>
        <w:t xml:space="preserve">A股影响：偏利好</w:t>
      </w:r>
    </w:p>
    <w:p>
      <w:pPr>
        <w:numPr>
          <w:ilvl w:val="0"/>
          <w:numId w:val="1005"/>
        </w:numPr>
        <w:pStyle w:val="Compact"/>
      </w:pPr>
      <w:r>
        <w:t xml:space="preserve">相关板块：能源、对外投资、人工智能、先进制造</w:t>
      </w:r>
    </w:p>
    <w:p>
      <w:pPr>
        <w:numPr>
          <w:ilvl w:val="0"/>
          <w:numId w:val="1005"/>
        </w:numPr>
        <w:pStyle w:val="Compact"/>
      </w:pPr>
      <w:r>
        <w:t xml:space="preserve">核心解读：双方明确深化能源、投资和人工智能合作，对中东业务链条形成预期支持，但尚无本轮新增合同金额。</w:t>
      </w:r>
    </w:p>
    <w:p>
      <w:pPr>
        <w:numPr>
          <w:ilvl w:val="0"/>
          <w:numId w:val="1005"/>
        </w:numPr>
        <w:pStyle w:val="Compact"/>
      </w:pPr>
      <w:r>
        <w:t xml:space="preserve">验证条件：后续合作协议、上市公司订单或项目公告；无实质项目时仅作主题跟踪。</w:t>
      </w:r>
    </w:p>
    <w:p>
      <w:pPr>
        <w:pStyle w:val="Heading4"/>
      </w:pPr>
      <w:bookmarkStart w:id="28" w:name="韩正分别会见保加利亚副总理柬埔寨副首相塞尔维亚副总理"/>
      <w:r>
        <w:t xml:space="preserve">韩正分别会见保加利亚副总理、柬埔寨副首相、塞尔维亚副总理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A股影响：偏利好</w:t>
      </w:r>
    </w:p>
    <w:p>
      <w:pPr>
        <w:numPr>
          <w:ilvl w:val="0"/>
          <w:numId w:val="1006"/>
        </w:numPr>
        <w:pStyle w:val="Compact"/>
      </w:pPr>
      <w:r>
        <w:t xml:space="preserve">相关板块：一带一路、基建出海、农业、先进制造</w:t>
      </w:r>
    </w:p>
    <w:p>
      <w:pPr>
        <w:numPr>
          <w:ilvl w:val="0"/>
          <w:numId w:val="1006"/>
        </w:numPr>
        <w:pStyle w:val="Compact"/>
      </w:pPr>
      <w:r>
        <w:t xml:space="preserve">核心解读：经贸、投资、基础设施与新兴产业合作方向明确，有利于具备真实海外订单能力的公司。</w:t>
      </w:r>
    </w:p>
    <w:p>
      <w:pPr>
        <w:numPr>
          <w:ilvl w:val="0"/>
          <w:numId w:val="1006"/>
        </w:numPr>
        <w:pStyle w:val="Compact"/>
      </w:pPr>
      <w:r>
        <w:t xml:space="preserve">验证条件：投洽会签约和上市公司公告；贸易摩擦或项目回款恶化为失效风险。</w:t>
      </w:r>
    </w:p>
    <w:p>
      <w:pPr>
        <w:pStyle w:val="Heading4"/>
      </w:pPr>
      <w:bookmarkStart w:id="29" w:name="各地一批重大工程扎实有序推进"/>
      <w:r>
        <w:t xml:space="preserve">各地一批重大工程扎实有序推进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A股影响：利好</w:t>
      </w:r>
    </w:p>
    <w:p>
      <w:pPr>
        <w:numPr>
          <w:ilvl w:val="0"/>
          <w:numId w:val="1007"/>
        </w:numPr>
        <w:pStyle w:val="Compact"/>
      </w:pPr>
      <w:r>
        <w:t xml:space="preserve">相关板块：水利建设、工程机械、建筑材料、轨交与公路施工</w:t>
      </w:r>
    </w:p>
    <w:p>
      <w:pPr>
        <w:numPr>
          <w:ilvl w:val="0"/>
          <w:numId w:val="1007"/>
        </w:numPr>
        <w:pStyle w:val="Compact"/>
      </w:pPr>
      <w:r>
        <w:t xml:space="preserve">核心解读：水资源配置、水库、机场、高速公路与桥梁项目均披露明确进度，属于实物工作量线索，较一般表态更实质。</w:t>
      </w:r>
    </w:p>
    <w:p>
      <w:pPr>
        <w:numPr>
          <w:ilvl w:val="0"/>
          <w:numId w:val="1007"/>
        </w:numPr>
        <w:pStyle w:val="Compact"/>
      </w:pPr>
      <w:r>
        <w:t xml:space="preserve">验证条件：基建板块放量、工程机械与建材同步走强、订单公告兑现；若板块冲高回落且无量，短线失效。</w:t>
      </w:r>
    </w:p>
    <w:p>
      <w:pPr>
        <w:pStyle w:val="Heading4"/>
      </w:pPr>
      <w:bookmarkStart w:id="30" w:name="我国加快推动历史经典产业迈向中高端"/>
      <w:r>
        <w:t xml:space="preserve">我国加快推动历史经典产业迈向中高端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A股影响：偏利好</w:t>
      </w:r>
    </w:p>
    <w:p>
      <w:pPr>
        <w:numPr>
          <w:ilvl w:val="0"/>
          <w:numId w:val="1008"/>
        </w:numPr>
        <w:pStyle w:val="Compact"/>
      </w:pPr>
      <w:r>
        <w:t xml:space="preserve">相关板块：品牌消费、中药、丝绸、陶瓷、文化数字化</w:t>
      </w:r>
    </w:p>
    <w:p>
      <w:pPr>
        <w:numPr>
          <w:ilvl w:val="0"/>
          <w:numId w:val="1008"/>
        </w:numPr>
        <w:pStyle w:val="Compact"/>
      </w:pPr>
      <w:r>
        <w:t xml:space="preserve">核心解读：提出到2028年培育50家百亿规模龙头、100个中国消费名品，并推动AI赋能，兼具产业目标与数字化抓手。</w:t>
      </w:r>
    </w:p>
    <w:p>
      <w:pPr>
        <w:numPr>
          <w:ilvl w:val="0"/>
          <w:numId w:val="1008"/>
        </w:numPr>
        <w:pStyle w:val="Compact"/>
      </w:pPr>
      <w:r>
        <w:t xml:space="preserve">验证条件：品牌消费与中药出现资金共振、后续名单或扶持细则落地；政策兑现周期较长是主要风险。</w:t>
      </w:r>
    </w:p>
    <w:p>
      <w:pPr>
        <w:pStyle w:val="Heading4"/>
      </w:pPr>
      <w:bookmarkStart w:id="31" w:name="第五届全球数字贸易博览会将于9月23日至27日在浙江杭州举办"/>
      <w:r>
        <w:t xml:space="preserve">第五届全球数字贸易博览会将于9月23日至27日在浙江杭州举办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A股影响：利好</w:t>
      </w:r>
    </w:p>
    <w:p>
      <w:pPr>
        <w:numPr>
          <w:ilvl w:val="0"/>
          <w:numId w:val="1009"/>
        </w:numPr>
        <w:pStyle w:val="Compact"/>
      </w:pPr>
      <w:r>
        <w:t xml:space="preserve">相关板块：大模型、AI应用、智能终端、具身智能、数字贸易</w:t>
      </w:r>
    </w:p>
    <w:p>
      <w:pPr>
        <w:numPr>
          <w:ilvl w:val="0"/>
          <w:numId w:val="1009"/>
        </w:numPr>
        <w:pStyle w:val="Compact"/>
      </w:pPr>
      <w:r>
        <w:t xml:space="preserve">核心解读：200多个大模型及多类AI赛事构成明确时间催化，适合跟踪应用端和智能终端，但当前资金流与板块强度未核验。</w:t>
      </w:r>
    </w:p>
    <w:p>
      <w:pPr>
        <w:numPr>
          <w:ilvl w:val="0"/>
          <w:numId w:val="1009"/>
        </w:numPr>
        <w:pStyle w:val="Compact"/>
      </w:pPr>
      <w:r>
        <w:t xml:space="preserve">验证条件：AI应用板块放量、核心标的回踩承接、会前产品或订单公告；高开低走或主力转流出则失效。</w:t>
      </w:r>
    </w:p>
    <w:p>
      <w:pPr>
        <w:pStyle w:val="Heading4"/>
      </w:pPr>
      <w:bookmarkStart w:id="32" w:name="我国将加快完善乡村振兴投入机制"/>
      <w:r>
        <w:t xml:space="preserve">我国将加快完善乡村振兴投入机制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A股影响：偏利好</w:t>
      </w:r>
    </w:p>
    <w:p>
      <w:pPr>
        <w:numPr>
          <w:ilvl w:val="0"/>
          <w:numId w:val="1010"/>
        </w:numPr>
        <w:pStyle w:val="Compact"/>
      </w:pPr>
      <w:r>
        <w:t xml:space="preserve">相关板块：农业保险、乡村基建、农业服务、农机</w:t>
      </w:r>
    </w:p>
    <w:p>
      <w:pPr>
        <w:numPr>
          <w:ilvl w:val="0"/>
          <w:numId w:val="1010"/>
        </w:numPr>
        <w:pStyle w:val="Compact"/>
      </w:pPr>
      <w:r>
        <w:t xml:space="preserve">核心解读：六部门明确财政、金融和社会资本多元投入机制，政策覆盖面广，农业保险与乡村建设的受益逻辑更直接。</w:t>
      </w:r>
    </w:p>
    <w:p>
      <w:pPr>
        <w:numPr>
          <w:ilvl w:val="0"/>
          <w:numId w:val="1010"/>
        </w:numPr>
        <w:pStyle w:val="Compact"/>
      </w:pPr>
      <w:r>
        <w:t xml:space="preserve">验证条件：配套资金、保险增量数据或具体项目落地；缺少后续资金安排时不追主题上涨。</w:t>
      </w:r>
    </w:p>
    <w:p>
      <w:pPr>
        <w:pStyle w:val="Heading4"/>
      </w:pPr>
      <w:bookmarkStart w:id="33" w:name="平陆运河将于9月16日建成通航"/>
      <w:r>
        <w:t xml:space="preserve">平陆运河将于9月16日建成通航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A股影响：偏利好</w:t>
      </w:r>
    </w:p>
    <w:p>
      <w:pPr>
        <w:numPr>
          <w:ilvl w:val="0"/>
          <w:numId w:val="1011"/>
        </w:numPr>
        <w:pStyle w:val="Compact"/>
      </w:pPr>
      <w:r>
        <w:t xml:space="preserve">相关板块：港口航运、物流、西南基建</w:t>
      </w:r>
    </w:p>
    <w:p>
      <w:pPr>
        <w:numPr>
          <w:ilvl w:val="0"/>
          <w:numId w:val="1011"/>
        </w:numPr>
        <w:pStyle w:val="Compact"/>
      </w:pPr>
      <w:r>
        <w:t xml:space="preserve">核心解读：通航日期、134.2公里航程与5000吨级通航能力均明确，事件确定性较高，受益核心在区域物流效率改善。</w:t>
      </w:r>
    </w:p>
    <w:p>
      <w:pPr>
        <w:numPr>
          <w:ilvl w:val="0"/>
          <w:numId w:val="1011"/>
        </w:numPr>
        <w:pStyle w:val="Compact"/>
      </w:pPr>
      <w:r>
        <w:t xml:space="preserve">验证条件：港航物流板块量价共振、相关公司披露业务受益；若仅地域概念炒作则及时降级。</w:t>
      </w:r>
    </w:p>
    <w:p>
      <w:pPr>
        <w:pStyle w:val="Heading4"/>
      </w:pPr>
      <w:bookmarkStart w:id="34" w:name="国内联播快讯"/>
      <w:r>
        <w:t xml:space="preserve">国内联播快讯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A股影响：偏利好</w:t>
      </w:r>
    </w:p>
    <w:p>
      <w:pPr>
        <w:numPr>
          <w:ilvl w:val="0"/>
          <w:numId w:val="1012"/>
        </w:numPr>
        <w:pStyle w:val="Compact"/>
      </w:pPr>
      <w:r>
        <w:t xml:space="preserve">相关板块：应急救灾、AI合规、服贸、跨境物流、金融科技</w:t>
      </w:r>
    </w:p>
    <w:p>
      <w:pPr>
        <w:numPr>
          <w:ilvl w:val="0"/>
          <w:numId w:val="1012"/>
        </w:numPr>
        <w:pStyle w:val="Compact"/>
      </w:pPr>
      <w:r>
        <w:t xml:space="preserve">核心解读：快讯包含2.4亿元救灾资金、首部涉AI司法裁判规则文件、服贸会展品入境及金融教育宣传周等，多为分散催化；其中AI合规有利于行业边界清晰，也会压制违规应用。</w:t>
      </w:r>
    </w:p>
    <w:p>
      <w:pPr>
        <w:numPr>
          <w:ilvl w:val="0"/>
          <w:numId w:val="1012"/>
        </w:numPr>
        <w:pStyle w:val="Compact"/>
      </w:pPr>
      <w:r>
        <w:t xml:space="preserve">验证条件：细分板块资金承接和公司公告；没有板块联动时仅作信息跟踪。</w:t>
      </w:r>
    </w:p>
    <w:p>
      <w:pPr>
        <w:pStyle w:val="Heading4"/>
      </w:pPr>
      <w:bookmarkStart w:id="35" w:name="伊朗称将在霍尔木兹海峡之外设立禁区美称与伊朗仍处于冲突状态"/>
      <w:r>
        <w:t xml:space="preserve">伊朗称将在霍尔木兹海峡之外设立禁区美称与伊朗仍处于冲突状态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A股影响：偏利空</w:t>
      </w:r>
    </w:p>
    <w:p>
      <w:pPr>
        <w:numPr>
          <w:ilvl w:val="0"/>
          <w:numId w:val="1013"/>
        </w:numPr>
        <w:pStyle w:val="Compact"/>
      </w:pPr>
      <w:r>
        <w:t xml:space="preserve">相关板块：油气、油服偏利好；航空、航运成本端、化工下游偏利空</w:t>
      </w:r>
    </w:p>
    <w:p>
      <w:pPr>
        <w:numPr>
          <w:ilvl w:val="0"/>
          <w:numId w:val="1013"/>
        </w:numPr>
        <w:pStyle w:val="Compact"/>
      </w:pPr>
      <w:r>
        <w:t xml:space="preserve">核心解读：冲突及石油外运限制提高油价和供应链风险，WTI当时上涨0.92%，事件对大盘风险偏好不利。</w:t>
      </w:r>
    </w:p>
    <w:p>
      <w:pPr>
        <w:numPr>
          <w:ilvl w:val="0"/>
          <w:numId w:val="1013"/>
        </w:numPr>
        <w:pStyle w:val="Compact"/>
      </w:pPr>
      <w:r>
        <w:t xml:space="preserve">验证条件：原油继续上涨且油气股放量可确认事件交易；局势缓和、油价回落则逻辑失效。</w:t>
      </w:r>
    </w:p>
    <w:p>
      <w:pPr>
        <w:pStyle w:val="Heading4"/>
      </w:pPr>
      <w:bookmarkStart w:id="36" w:name="乌美会谈结束美称向乌方转达此前俄美会谈相关观点"/>
      <w:r>
        <w:t xml:space="preserve">乌美会谈结束美称向乌方转达此前俄美会谈相关观点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A股影响：中性</w:t>
      </w:r>
    </w:p>
    <w:p>
      <w:pPr>
        <w:numPr>
          <w:ilvl w:val="0"/>
          <w:numId w:val="1014"/>
        </w:numPr>
        <w:pStyle w:val="Compact"/>
      </w:pPr>
      <w:r>
        <w:t xml:space="preserve">相关板块：黄金、军工、欧洲能源链；无直接确定映射</w:t>
      </w:r>
    </w:p>
    <w:p>
      <w:pPr>
        <w:numPr>
          <w:ilvl w:val="0"/>
          <w:numId w:val="1014"/>
        </w:numPr>
        <w:pStyle w:val="Compact"/>
      </w:pPr>
      <w:r>
        <w:t xml:space="preserve">核心解读：会谈有推进但领土与安全保障仍待高层讨论，不能据此判断冲突结束或升级。</w:t>
      </w:r>
    </w:p>
    <w:p>
      <w:pPr>
        <w:numPr>
          <w:ilvl w:val="0"/>
          <w:numId w:val="1014"/>
        </w:numPr>
        <w:pStyle w:val="Compact"/>
      </w:pPr>
      <w:r>
        <w:t xml:space="preserve">验证条件：正式三方会谈结果及商品价格反应；没有实质协议前不做单边押注。</w:t>
      </w:r>
    </w:p>
    <w:p>
      <w:pPr>
        <w:pStyle w:val="Heading4"/>
      </w:pPr>
      <w:bookmarkStart w:id="37" w:name="国际联播快讯"/>
      <w:r>
        <w:t xml:space="preserve">国际联播快讯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A股影响：偏利空</w:t>
      </w:r>
    </w:p>
    <w:p>
      <w:pPr>
        <w:numPr>
          <w:ilvl w:val="0"/>
          <w:numId w:val="1015"/>
        </w:numPr>
        <w:pStyle w:val="Compact"/>
      </w:pPr>
      <w:r>
        <w:t xml:space="preserve">相关板块：油气、航空运输、跨境物流、航空安全</w:t>
      </w:r>
    </w:p>
    <w:p>
      <w:pPr>
        <w:numPr>
          <w:ilvl w:val="0"/>
          <w:numId w:val="1015"/>
        </w:numPr>
        <w:pStyle w:val="Compact"/>
      </w:pPr>
      <w:r>
        <w:t xml:space="preserve">核心解读：也门交火、主要产油国10月暂停增产、货机事故与印尼火山扰航共同提高能源和运输不确定性，其中暂停增产对油价偏支撑。</w:t>
      </w:r>
    </w:p>
    <w:p>
      <w:pPr>
        <w:numPr>
          <w:ilvl w:val="0"/>
          <w:numId w:val="1015"/>
        </w:numPr>
        <w:pStyle w:val="Compact"/>
      </w:pPr>
      <w:r>
        <w:t xml:space="preserve">验证条件：油价、航运价格和相关板块成交同步上行；事件缓和或价格回落则失效。</w:t>
      </w:r>
    </w:p>
    <w:p>
      <w:pPr>
        <w:pStyle w:val="Heading4"/>
      </w:pPr>
      <w:bookmarkStart w:id="38" w:name="二十四节气白露"/>
      <w:r>
        <w:t xml:space="preserve">二十四节气·白露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A股影响：中性</w:t>
      </w:r>
    </w:p>
    <w:p>
      <w:pPr>
        <w:numPr>
          <w:ilvl w:val="0"/>
          <w:numId w:val="1016"/>
        </w:numPr>
        <w:pStyle w:val="Compact"/>
      </w:pPr>
      <w:r>
        <w:t xml:space="preserve">相关板块：无直接映射</w:t>
      </w:r>
    </w:p>
    <w:p>
      <w:pPr>
        <w:numPr>
          <w:ilvl w:val="0"/>
          <w:numId w:val="1016"/>
        </w:numPr>
        <w:pStyle w:val="Compact"/>
      </w:pPr>
      <w:r>
        <w:t xml:space="preserve">核心解读：文化与节气内容，不构成可量化的A股交易催化。</w:t>
      </w:r>
    </w:p>
    <w:p>
      <w:pPr>
        <w:numPr>
          <w:ilvl w:val="0"/>
          <w:numId w:val="1016"/>
        </w:numPr>
        <w:pStyle w:val="Compact"/>
      </w:pPr>
      <w:r>
        <w:t xml:space="preserve">验证条件：无；禁止强行映射为投资主题。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今日重要公告"/>
      <w:r>
        <w:t xml:space="preserve">📋 今日重要公告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⚠️ 东方财富公告源返回 HTTP 567，本轮增减持、解禁、业绩、停复牌、重组及监管问询均未核验。</w:t>
      </w:r>
    </w:p>
    <w:p>
      <w:pPr>
        <w:numPr>
          <w:ilvl w:val="0"/>
          <w:numId w:val="1017"/>
        </w:numPr>
        <w:pStyle w:val="Compact"/>
      </w:pPr>
      <w:r>
        <w:t xml:space="preserve">🚫 不能把</w:t>
      </w:r>
      <w:r>
        <w:t xml:space="preserve">“</w:t>
      </w:r>
      <w:r>
        <w:t xml:space="preserve">未采集到</w:t>
      </w:r>
      <w:r>
        <w:t xml:space="preserve">”</w:t>
      </w:r>
      <w:r>
        <w:t xml:space="preserve">表述为</w:t>
      </w:r>
      <w:r>
        <w:t xml:space="preserve">“</w:t>
      </w:r>
      <w:r>
        <w:t xml:space="preserve">今日没有重要公告</w:t>
      </w:r>
      <w:r>
        <w:t xml:space="preserve">”</w:t>
      </w:r>
      <w:r>
        <w:t xml:space="preserve">。</w:t>
      </w:r>
    </w:p>
    <w:p>
      <w:pPr>
        <w:numPr>
          <w:ilvl w:val="0"/>
          <w:numId w:val="1017"/>
        </w:numPr>
        <w:pStyle w:val="Compact"/>
      </w:pPr>
      <w:r>
        <w:t xml:space="preserve">💡 持仓与候选股开盘前应单独核对交易所公告；在完成核对前，不以公告作为加仓依据。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0" w:name="今日经济数据与事件"/>
      <w:r>
        <w:t xml:space="preserve">📅 今日经济数据与事件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🇨🇳 国内：可确认8月CPI/PPI计划于9月9日发布，今日不提前引用结果；今日是否有MLF、LPR或新增逆回购操作，本轮未核验。</w:t>
      </w:r>
    </w:p>
    <w:p>
      <w:pPr>
        <w:numPr>
          <w:ilvl w:val="0"/>
          <w:numId w:val="1018"/>
        </w:numPr>
        <w:pStyle w:val="Compact"/>
      </w:pPr>
      <w:r>
        <w:t xml:space="preserve">🇪🇺 海外：德国ZEW经济景气指数计划于9月8日发布，可能影响欧洲风险偏好与欧元资产。</w:t>
      </w:r>
    </w:p>
    <w:p>
      <w:pPr>
        <w:numPr>
          <w:ilvl w:val="0"/>
          <w:numId w:val="1018"/>
        </w:numPr>
        <w:pStyle w:val="Compact"/>
      </w:pPr>
      <w:r>
        <w:t xml:space="preserve">🇪🇺 本周：欧洲央行利率决议在9月10日，市场对利率路径较敏感；高估值成长股可能受海外利率波动影响。</w:t>
      </w:r>
    </w:p>
    <w:p>
      <w:pPr>
        <w:numPr>
          <w:ilvl w:val="0"/>
          <w:numId w:val="1018"/>
        </w:numPr>
        <w:pStyle w:val="Compact"/>
      </w:pPr>
      <w:r>
        <w:t xml:space="preserve">🇺🇸 本周：美国8月CPI是后续关键变量；具体结果尚未发布，禁止预判数值。</w:t>
      </w:r>
    </w:p>
    <w:p>
      <w:pPr>
        <w:numPr>
          <w:ilvl w:val="0"/>
          <w:numId w:val="1018"/>
        </w:numPr>
        <w:pStyle w:val="Compact"/>
      </w:pPr>
      <w:r>
        <w:t xml:space="preserve">💡 A股应对：今日先交易已确认的国内政策与昨日科技修复，海外宏观只作为仓位约束，不作为开盘追涨理由。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全球重要事件"/>
      <w:r>
        <w:t xml:space="preserve">🌍 全球重要事件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🛢️ 中东与油运：霍尔木兹周边冲突、美国对伊朗石油外运施压、也门交火，以及主要产油国10月暂停增产，共同支撑油价风险溢价。</w:t>
      </w:r>
    </w:p>
    <w:p>
      <w:pPr>
        <w:numPr>
          <w:ilvl w:val="0"/>
          <w:numId w:val="1019"/>
        </w:numPr>
        <w:pStyle w:val="Compact"/>
      </w:pPr>
      <w:r>
        <w:t xml:space="preserve">📈 受益观察：油气开采、油服；必须以原油继续走强且A股板块放量为确认。</w:t>
      </w:r>
    </w:p>
    <w:p>
      <w:pPr>
        <w:numPr>
          <w:ilvl w:val="0"/>
          <w:numId w:val="1019"/>
        </w:numPr>
        <w:pStyle w:val="Compact"/>
      </w:pPr>
      <w:r>
        <w:t xml:space="preserve">📉 承压观察：航空、耗油运输及原料成本敏感的化工下游；若油价回落，成本压力预期随之减弱。</w:t>
      </w:r>
    </w:p>
    <w:p>
      <w:pPr>
        <w:numPr>
          <w:ilvl w:val="0"/>
          <w:numId w:val="1019"/>
        </w:numPr>
        <w:pStyle w:val="Compact"/>
      </w:pPr>
      <w:r>
        <w:t xml:space="preserve">🌋 印尼火山扰航：对区域航空与旅游链偏负面，但是否影响A股公司业绩未核验。</w:t>
      </w:r>
    </w:p>
    <w:p>
      <w:pPr>
        <w:numPr>
          <w:ilvl w:val="0"/>
          <w:numId w:val="1019"/>
        </w:numPr>
        <w:pStyle w:val="Compact"/>
      </w:pPr>
      <w:r>
        <w:t xml:space="preserve">🤖 科技催化：韩国、日本科技股表现较强，叠加国内数贸会预期，对A股AI硬件与应用情绪偏正面；但美股休市，缺少隔夜美股科技定价确认。</w:t>
      </w:r>
    </w:p>
    <w:p>
      <w:pPr>
        <w:numPr>
          <w:ilvl w:val="0"/>
          <w:numId w:val="1019"/>
        </w:numPr>
        <w:pStyle w:val="Compact"/>
      </w:pPr>
      <w:r>
        <w:t xml:space="preserve">⚠️ 贸易与利率：海外贸易摩擦和利率预期升温可能压制高估值与出口导向公司，开盘高溢价品种优先防兑现。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昨日复盘要点"/>
      <w:r>
        <w:t xml:space="preserve">📊 昨日复盘要点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📈 上证指数 3932.6992 点、上涨 0.0657%；深证成指 13774.915 点、上涨 1.9083%；创业板指 3398.681 点、上涨 3.4119%；科创50上涨 2.4199%；沪深300上涨 0.5931%。新浪、东方财富、腾讯点位和涨跌幅校验一致。</w:t>
      </w:r>
    </w:p>
    <w:p>
      <w:pPr>
        <w:numPr>
          <w:ilvl w:val="0"/>
          <w:numId w:val="1020"/>
        </w:numPr>
        <w:pStyle w:val="Compact"/>
      </w:pPr>
      <w:r>
        <w:t xml:space="preserve">🔥 风格：成长显著强于权重，创业板与科创50领涨；</w:t>
      </w:r>
      <w:r>
        <w:rPr>
          <w:rStyle w:val="VerbatimChar"/>
        </w:rPr>
        <w:t xml:space="preserve">derived.market_style</w:t>
      </w:r>
      <w:r>
        <w:t xml:space="preserve"> </w:t>
      </w:r>
      <w:r>
        <w:t xml:space="preserve">判定为</w:t>
      </w:r>
      <w:r>
        <w:t xml:space="preserve">“</w:t>
      </w:r>
      <w:r>
        <w:t xml:space="preserve">偏强/风险偏好较高</w:t>
      </w:r>
      <w:r>
        <w:t xml:space="preserve">”</w:t>
      </w:r>
      <w:r>
        <w:t xml:space="preserve">。</w:t>
      </w:r>
    </w:p>
    <w:p>
      <w:pPr>
        <w:numPr>
          <w:ilvl w:val="0"/>
          <w:numId w:val="1020"/>
        </w:numPr>
        <w:pStyle w:val="Compact"/>
      </w:pPr>
      <w:r>
        <w:t xml:space="preserve">📊 广度（同花顺单源）：上涨3167家、下跌2196家、平盘186家、停牌9家；涨停95家、跌停2家，赚钱效应偏正。</w:t>
      </w:r>
    </w:p>
    <w:p>
      <w:pPr>
        <w:numPr>
          <w:ilvl w:val="0"/>
          <w:numId w:val="1020"/>
        </w:numPr>
        <w:pStyle w:val="Compact"/>
      </w:pPr>
      <w:r>
        <w:t xml:space="preserve">💰 全市场成交额（同花顺单源）：19642.35亿元；另有20510.48亿元原始金额可作展示，但比较口径为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，因此不计算或引用成交额变化百分比。</w:t>
      </w:r>
    </w:p>
    <w:p>
      <w:pPr>
        <w:numPr>
          <w:ilvl w:val="0"/>
          <w:numId w:val="1020"/>
        </w:numPr>
        <w:pStyle w:val="Compact"/>
      </w:pPr>
      <w:r>
        <w:t xml:space="preserve">⚠️ 资金与板块：主力净流入TOP10、净流出TOP10、板块涨跌榜、活跃股及涨跌停样本均采集失败，不能确认昨日具体资金主线。</w:t>
      </w:r>
    </w:p>
    <w:p>
      <w:pPr>
        <w:numPr>
          <w:ilvl w:val="0"/>
          <w:numId w:val="1020"/>
        </w:numPr>
        <w:pStyle w:val="Compact"/>
      </w:pPr>
      <w:r>
        <w:t xml:space="preserve">💡 结论：昨日是</w:t>
      </w:r>
      <w:r>
        <w:t xml:space="preserve">“</w:t>
      </w:r>
      <w:r>
        <w:t xml:space="preserve">成长修复 + 广度改善</w:t>
      </w:r>
      <w:r>
        <w:t xml:space="preserve">”</w:t>
      </w:r>
      <w:r>
        <w:t xml:space="preserve">，但在资金流和板块榜缺失情况下，今日只能做条件预案，不能把华泰文本中的国产存储、算力通信直接写成已获资金验证的事实主线。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资金流向核验"/>
      <w:r>
        <w:t xml:space="preserve">💰 资金流向核验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💰 主力净流入TOP10：未核验。</w:t>
      </w:r>
      <w:r>
        <w:rPr>
          <w:rStyle w:val="VerbatimChar"/>
        </w:rPr>
        <w:t xml:space="preserve">sources.money_flow.ok=false</w:t>
      </w:r>
      <w:r>
        <w:t xml:space="preserve">，HTTP 502，采集 JSON 无真实榜单，禁止补写股票或板块金额。</w:t>
      </w:r>
    </w:p>
    <w:p>
      <w:pPr>
        <w:numPr>
          <w:ilvl w:val="0"/>
          <w:numId w:val="1021"/>
        </w:numPr>
        <w:pStyle w:val="Compact"/>
      </w:pPr>
      <w:r>
        <w:t xml:space="preserve">⚠️ 主力净流出TOP10：未核验。</w:t>
      </w:r>
      <w:r>
        <w:rPr>
          <w:rStyle w:val="VerbatimChar"/>
        </w:rPr>
        <w:t xml:space="preserve">sources.money_flow.ok=false</w:t>
      </w:r>
      <w:r>
        <w:t xml:space="preserve">，HTTP 502，采集 JSON 无真实榜单，禁止补写股票或板块金额。</w:t>
      </w:r>
    </w:p>
    <w:p>
      <w:pPr>
        <w:numPr>
          <w:ilvl w:val="0"/>
          <w:numId w:val="1021"/>
        </w:numPr>
        <w:pStyle w:val="Compact"/>
      </w:pPr>
      <w:r>
        <w:t xml:space="preserve">💡 盘中替代验证：只在板块涨幅、成交额和主力净流入同时可见且方向一致时，才将观察方向升级为主攻方向。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今日操作策略"/>
      <w:r>
        <w:t xml:space="preserve">🎯 今日操作策略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📊 市场预判：震荡偏多，但分化概率高。昨日创业板上涨3.4119%、科创50上涨2.4199%，今日更适合等回踩确认，不适合开盘追高。</w:t>
      </w:r>
    </w:p>
    <w:p>
      <w:pPr>
        <w:numPr>
          <w:ilvl w:val="0"/>
          <w:numId w:val="1022"/>
        </w:numPr>
        <w:pStyle w:val="Compact"/>
      </w:pPr>
      <w:r>
        <w:t xml:space="preserve">🔥 优先观察：AI应用/数字贸易、国产存储与算力通信硬件、低估值国有大行；前两项偏进攻，银行用于波动对冲。</w:t>
      </w:r>
    </w:p>
    <w:p>
      <w:pPr>
        <w:numPr>
          <w:ilvl w:val="0"/>
          <w:numId w:val="1022"/>
        </w:numPr>
        <w:pStyle w:val="Compact"/>
      </w:pPr>
      <w:r>
        <w:t xml:space="preserve">👀 个股池：风语筑（AI应用/数字文化观察）、弘元绿能（光伏修复观察）、工商银行与农业银行（低估值银行底仓观察）、甘源食品/开普检测（仅华泰筛选线索，行情与资金未交叉验证）。</w:t>
      </w:r>
    </w:p>
    <w:p>
      <w:pPr>
        <w:numPr>
          <w:ilvl w:val="0"/>
          <w:numId w:val="1022"/>
        </w:numPr>
        <w:pStyle w:val="Compact"/>
      </w:pPr>
      <w:r>
        <w:t xml:space="preserve">💡 激进型：最高80%仓位，但只允许在目标板块放量、龙头不高开低走、主力净流入可确认后逐笔参与；开盘前不预设满仓。</w:t>
      </w:r>
    </w:p>
    <w:p>
      <w:pPr>
        <w:numPr>
          <w:ilvl w:val="0"/>
          <w:numId w:val="1022"/>
        </w:numPr>
        <w:pStyle w:val="Compact"/>
      </w:pPr>
      <w:r>
        <w:t xml:space="preserve">💡 稳健型：65%仓位上限，以回踩承接和银行底仓为主，科技方向等待开盘30分钟后确认。</w:t>
      </w:r>
    </w:p>
    <w:p>
      <w:pPr>
        <w:numPr>
          <w:ilvl w:val="0"/>
          <w:numId w:val="1022"/>
        </w:numPr>
        <w:pStyle w:val="Compact"/>
      </w:pPr>
      <w:r>
        <w:t xml:space="preserve">💡 保守型：50%仓位上限；资金流数据恢复前保留现金，不因昨日普涨提高追价幅度。</w:t>
      </w:r>
    </w:p>
    <w:p>
      <w:pPr>
        <w:numPr>
          <w:ilvl w:val="0"/>
          <w:numId w:val="1022"/>
        </w:numPr>
        <w:pStyle w:val="Compact"/>
      </w:pPr>
      <w:r>
        <w:t xml:space="preserve">⚠️ 风险：中东冲突推升油价、海外利率预期升温、科技高开兑现、资金流榜持续缺失，以及持仓个股公告未核验。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5" w:name="今日重点投资方向"/>
      <w:r>
        <w:t xml:space="preserve">🎯 今日重点投资方向</w:t>
      </w:r>
      <w:bookmarkEnd w:id="45"/>
    </w:p>
    <w:p>
      <w:pPr>
        <w:pStyle w:val="Heading3"/>
      </w:pPr>
      <w:bookmarkStart w:id="46" w:name="方向一ai应用数字贸易智能终端优先级高观察"/>
      <w:r>
        <w:t xml:space="preserve">🚀 方向一：AI应用—数字贸易/智能终端（优先级：高观察）</w:t>
      </w:r>
      <w:bookmarkEnd w:id="46"/>
    </w:p>
    <w:p>
      <w:pPr>
        <w:numPr>
          <w:ilvl w:val="0"/>
          <w:numId w:val="1023"/>
        </w:numPr>
        <w:pStyle w:val="Compact"/>
      </w:pPr>
      <w:r>
        <w:t xml:space="preserve">📌 证据链：① 昨日创业板上涨3.4119%、科创50上涨2.4199%，成长风格占优；② 新闻联播确认第五届数贸会9月23日至27日举办，将集中展示200多个大模型及智能终端；③ 华泰市场洞察把算力通信硬件、消费电子列为关注线索。资金净流入与板块成交额未核验，故不能定性为已确认主线。</w:t>
      </w:r>
    </w:p>
    <w:p>
      <w:pPr>
        <w:numPr>
          <w:ilvl w:val="0"/>
          <w:numId w:val="1023"/>
        </w:numPr>
        <w:pStyle w:val="Compact"/>
      </w:pPr>
      <w:r>
        <w:t xml:space="preserve">🔥 核心标的：风语筑（603466，数字文化/沉浸式体验与AI应用观察，最新12.19元、下跌1.61%）；开普检测（003008，华泰筛选线索，最新价与资金未核验）；不扩展未经采集确认的个股。</w:t>
      </w:r>
    </w:p>
    <w:p>
      <w:pPr>
        <w:numPr>
          <w:ilvl w:val="0"/>
          <w:numId w:val="1023"/>
        </w:numPr>
        <w:pStyle w:val="Compact"/>
      </w:pPr>
      <w:r>
        <w:t xml:space="preserve">💡 参与策略：激进型仅在板块放量且风语筑收复12.39元前收后参与；稳健型等回踩不破后再跟踪；保守型以行业ETF或空仓观察为主。</w:t>
      </w:r>
    </w:p>
    <w:p>
      <w:pPr>
        <w:numPr>
          <w:ilvl w:val="0"/>
          <w:numId w:val="1023"/>
        </w:numPr>
        <w:pStyle w:val="Compact"/>
      </w:pPr>
      <w:r>
        <w:t xml:space="preserve">✅ 触发条件：AI应用与智能终端同步走强、板块资金净流入恢复可见、风语筑放量站回12.39元且不快速回落。</w:t>
      </w:r>
    </w:p>
    <w:p>
      <w:pPr>
        <w:numPr>
          <w:ilvl w:val="0"/>
          <w:numId w:val="1023"/>
        </w:numPr>
        <w:pStyle w:val="Compact"/>
      </w:pPr>
      <w:r>
        <w:t xml:space="preserve">🚫 失效条件：板块高开低走、主力转净流出、风语筑持续低于12.19元并扩大跌幅。</w:t>
      </w:r>
    </w:p>
    <w:p>
      <w:pPr>
        <w:numPr>
          <w:ilvl w:val="0"/>
          <w:numId w:val="1023"/>
        </w:numPr>
        <w:pStyle w:val="Compact"/>
      </w:pPr>
      <w:r>
        <w:t xml:space="preserve">⚠️ 风险：会展催化距离较远、主题先涨后兑现、海外利率上行压制高估值。</w:t>
      </w:r>
    </w:p>
    <w:p>
      <w:pPr>
        <w:pStyle w:val="Heading3"/>
      </w:pPr>
      <w:bookmarkStart w:id="47" w:name="方向二低估值国有大行优先级中"/>
      <w:r>
        <w:t xml:space="preserve">🚀 方向二：低估值国有大行（优先级：中）</w:t>
      </w:r>
      <w:bookmarkEnd w:id="47"/>
    </w:p>
    <w:p>
      <w:pPr>
        <w:numPr>
          <w:ilvl w:val="0"/>
          <w:numId w:val="1024"/>
        </w:numPr>
        <w:pStyle w:val="Compact"/>
      </w:pPr>
      <w:r>
        <w:t xml:space="preserve">📌 证据链：① 华泰市场洞察明确低估值银行适合作为底仓对冲；② 沪深300昨日上涨0.5931%，权重并未转弱；③ 工商银行最新7.97元、下跌1.97%，与高弹性科技形成风格对冲。银行板块资金与农业银行行情未核验，置信度仅为中等。</w:t>
      </w:r>
    </w:p>
    <w:p>
      <w:pPr>
        <w:numPr>
          <w:ilvl w:val="0"/>
          <w:numId w:val="1024"/>
        </w:numPr>
        <w:pStyle w:val="Compact"/>
      </w:pPr>
      <w:r>
        <w:t xml:space="preserve">🔥 核心标的：工商银行（601398，已核验报价、底仓观察）；农业银行（601288，用户实盘持仓，但最新价未核验，暂不做价格结论）。</w:t>
      </w:r>
    </w:p>
    <w:p>
      <w:pPr>
        <w:numPr>
          <w:ilvl w:val="0"/>
          <w:numId w:val="1024"/>
        </w:numPr>
        <w:pStyle w:val="Compact"/>
      </w:pPr>
      <w:r>
        <w:t xml:space="preserve">💡 参与策略：激进型不把银行当追涨方向；稳健型持有底仓并等企稳；保守型仅在板块止跌且股息逻辑未受损时小仓跟踪。</w:t>
      </w:r>
    </w:p>
    <w:p>
      <w:pPr>
        <w:numPr>
          <w:ilvl w:val="0"/>
          <w:numId w:val="1024"/>
        </w:numPr>
        <w:pStyle w:val="Compact"/>
      </w:pPr>
      <w:r>
        <w:t xml:space="preserve">✅ 触发条件：工商银行重新站回8.13元前收、银行板块同步企稳；农业银行需先取得实时行情和公告核验。</w:t>
      </w:r>
    </w:p>
    <w:p>
      <w:pPr>
        <w:numPr>
          <w:ilvl w:val="0"/>
          <w:numId w:val="1024"/>
        </w:numPr>
        <w:pStyle w:val="Compact"/>
      </w:pPr>
      <w:r>
        <w:t xml:space="preserve">🚫 失效条件：工商银行跌破7.97元后继续放量走弱，或银行板块与沪深300同步转弱。</w:t>
      </w:r>
    </w:p>
    <w:p>
      <w:pPr>
        <w:numPr>
          <w:ilvl w:val="0"/>
          <w:numId w:val="1024"/>
        </w:numPr>
        <w:pStyle w:val="Compact"/>
      </w:pPr>
      <w:r>
        <w:t xml:space="preserve">⚠️ 风险：利率环境、净息差压力、前期防御资金兑现；不得仅因成本较低就忽略趋势变化。</w:t>
      </w:r>
    </w:p>
    <w:p>
      <w:pPr>
        <w:pStyle w:val="Heading3"/>
      </w:pPr>
      <w:bookmarkStart w:id="48" w:name="方向三重大工程水利交通基础设施优先级观察"/>
      <w:r>
        <w:t xml:space="preserve">🚀 方向三：重大工程—水利/交通基础设施（优先级：观察）</w:t>
      </w:r>
      <w:bookmarkEnd w:id="48"/>
    </w:p>
    <w:p>
      <w:pPr>
        <w:numPr>
          <w:ilvl w:val="0"/>
          <w:numId w:val="1025"/>
        </w:numPr>
        <w:pStyle w:val="Compact"/>
      </w:pPr>
      <w:r>
        <w:t xml:space="preserve">📌 证据链：① 新闻联播披露环北部湾水资源配置、林海水库、机场、高速与桥梁等项目进度；② 平陆运河明确9月16日建成通航；③ 昨日上涨3167家、涨停95家，具备主题扩散基础。板块涨幅、净流入和成交额全部未核验，不能升级为高优先级。</w:t>
      </w:r>
    </w:p>
    <w:p>
      <w:pPr>
        <w:numPr>
          <w:ilvl w:val="0"/>
          <w:numId w:val="1025"/>
        </w:numPr>
        <w:pStyle w:val="Compact"/>
      </w:pPr>
      <w:r>
        <w:t xml:space="preserve">🔥 核心标的：本轮采集 JSON 没有可交叉验证的水利、建材或工程机械个股，故不编造2—5只股票；盘中优先从真实资金流和成交额榜筛选，不以未经核验名单替代。</w:t>
      </w:r>
    </w:p>
    <w:p>
      <w:pPr>
        <w:numPr>
          <w:ilvl w:val="0"/>
          <w:numId w:val="1025"/>
        </w:numPr>
        <w:pStyle w:val="Compact"/>
      </w:pPr>
      <w:r>
        <w:t xml:space="preserve">💡 参与策略：激进型只做首个放量确认的细分龙头；稳健型等待板块指数突破后回踩；保守型继续观察。</w:t>
      </w:r>
    </w:p>
    <w:p>
      <w:pPr>
        <w:numPr>
          <w:ilvl w:val="0"/>
          <w:numId w:val="1025"/>
        </w:numPr>
        <w:pStyle w:val="Compact"/>
      </w:pPr>
      <w:r>
        <w:t xml:space="preserve">✅ 触发条件：水利建设、工程机械、建材至少两个细分同步上涨，且主力净流入和成交额共同放大。</w:t>
      </w:r>
    </w:p>
    <w:p>
      <w:pPr>
        <w:numPr>
          <w:ilvl w:val="0"/>
          <w:numId w:val="1025"/>
        </w:numPr>
        <w:pStyle w:val="Compact"/>
      </w:pPr>
      <w:r>
        <w:t xml:space="preserve">🚫 失效条件：仅单只地域概念股异动、板块冲高回落、资金净流入不能确认。</w:t>
      </w:r>
    </w:p>
    <w:p>
      <w:pPr>
        <w:numPr>
          <w:ilvl w:val="0"/>
          <w:numId w:val="1025"/>
        </w:numPr>
        <w:pStyle w:val="Compact"/>
      </w:pPr>
      <w:r>
        <w:t xml:space="preserve">⚠️ 风险：项目建设周期长、订单与利润兑现滞后、题材脉冲后快速回落。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9" w:name="华泰自选股观察"/>
      <w:r>
        <w:t xml:space="preserve">🧾 华泰自选股观察</w:t>
      </w:r>
      <w:bookmarkEnd w:id="49"/>
    </w:p>
    <w:p>
      <w:pPr>
        <w:pStyle w:val="FirstParagraph"/>
      </w:pPr>
      <w:r>
        <w:t xml:space="preserve">自选股共3只，行情均由华泰模拟盘报价单源提供；本轮个股新浪/东方财富/腾讯交叉校验失败。整体与今日预案仅部分共振：风语筑对应AI应用观察，工商银行对应防御底仓，弘元绿能所属光伏不在已确认政策主线，后者以跟踪为主、暂不作为主攻方向。</w:t>
      </w:r>
    </w:p>
    <w:p>
      <w:pPr>
        <w:numPr>
          <w:ilvl w:val="0"/>
          <w:numId w:val="1026"/>
        </w:numPr>
        <w:pStyle w:val="Compact"/>
      </w:pPr>
      <w:r>
        <w:t xml:space="preserve">📈 603185 弘元绿能：最新15.16元，较前收14.78元上涨2.57%。所属光伏硅片/新能源制造方向；本轮板块表现和资金流未核验，无法确认与当日主线共振。判断：继续观察，偏修复但不追高；只有光伏板块放量且个股守住14.78元上方才考虑低吸跟踪。</w:t>
      </w:r>
    </w:p>
    <w:p>
      <w:pPr>
        <w:numPr>
          <w:ilvl w:val="0"/>
          <w:numId w:val="1026"/>
        </w:numPr>
        <w:pStyle w:val="Compact"/>
      </w:pPr>
      <w:r>
        <w:t xml:space="preserve">📉 603466 风语筑：最新12.19元，较前收12.39元下跌1.61%。所属数字文化、沉浸式体验及AI应用方向，与数贸会/AI应用预案存在题材共振，但个股当日表现偏弱。判断：不追高，以跟踪为主；重新站稳12.39元并获板块资金配合后再提高优先级。</w:t>
      </w:r>
    </w:p>
    <w:p>
      <w:pPr>
        <w:numPr>
          <w:ilvl w:val="0"/>
          <w:numId w:val="1026"/>
        </w:numPr>
        <w:pStyle w:val="Compact"/>
      </w:pPr>
      <w:r>
        <w:t xml:space="preserve">📉 601398 工商银行：最新7.97元，较前收8.13元下跌1.97%。所属国有大行，与科技进攻主线不共振，但可承担低估值防御和组合稳定器角色。判断：偏弱震荡、继续观察；站回8.13元才视为短线修复，跌破7.97元后放量走弱则减仓保护利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0" w:name="用户实盘持仓策略"/>
      <w:r>
        <w:t xml:space="preserve">💼 用户实盘持仓策略</w:t>
      </w:r>
      <w:bookmarkEnd w:id="50"/>
    </w:p>
    <w:p>
      <w:pPr>
        <w:pStyle w:val="BlockText"/>
      </w:pPr>
      <w:r>
        <w:t xml:space="preserve">最新报价仅覆盖弘元绿能、风语筑、工商银行，且均为华泰单源；农业银行实时价格缺失。量价趋势、关键技术位和今日公告均未完整核验，以下使用已确认前收作为观察锚，不虚构均线或支撑阻力。</w:t>
      </w:r>
    </w:p>
    <w:p>
      <w:pPr>
        <w:pStyle w:val="Heading3"/>
      </w:pPr>
      <w:bookmarkStart w:id="51" w:name="弘元绿能603185-300股成本26.6669元"/>
      <w:r>
        <w:t xml:space="preserve">📉 弘元绿能（603185）— 300股，成本26.6669元</w:t>
      </w:r>
      <w:bookmarkEnd w:id="51"/>
    </w:p>
    <w:p>
      <w:pPr>
        <w:numPr>
          <w:ilvl w:val="0"/>
          <w:numId w:val="1027"/>
        </w:numPr>
        <w:pStyle w:val="Compact"/>
      </w:pPr>
      <w:r>
        <w:t xml:space="preserve">📊 最新15.16元，单源涨幅2.57%；按现价浮亏3452.07元，收益率 -43.15%。中期趋势与成交量未核验，深套本身不是加仓理由。</w:t>
      </w:r>
    </w:p>
    <w:p>
      <w:pPr>
        <w:numPr>
          <w:ilvl w:val="0"/>
          <w:numId w:val="1027"/>
        </w:numPr>
        <w:pStyle w:val="Compact"/>
      </w:pPr>
      <w:r>
        <w:t xml:space="preserve">💡 今日动作：持有观察、反弹优先减仓，不做无条件摊薄。若冲高但光伏板块无资金共振，可分批降低暴露。</w:t>
      </w:r>
    </w:p>
    <w:p>
      <w:pPr>
        <w:numPr>
          <w:ilvl w:val="0"/>
          <w:numId w:val="1027"/>
        </w:numPr>
        <w:pStyle w:val="Compact"/>
      </w:pPr>
      <w:r>
        <w:t xml:space="preserve">🚫 减仓/离场触发：跌回14.78元前收下方且不能快速收复；或个股翻绿同时光伏板块走弱；若公告出现基本面负面则停止补仓设想。</w:t>
      </w:r>
    </w:p>
    <w:p>
      <w:pPr>
        <w:numPr>
          <w:ilvl w:val="0"/>
          <w:numId w:val="1027"/>
        </w:numPr>
        <w:pStyle w:val="Compact"/>
      </w:pPr>
      <w:r>
        <w:t xml:space="preserve">✅ 条件加仓：仅在光伏板块主力净流入恢复可见、个股放量站稳15.16元上方并回踩不破时，小比例试仓；不以26.6669元回本为目标加仓。</w:t>
      </w:r>
    </w:p>
    <w:p>
      <w:pPr>
        <w:numPr>
          <w:ilvl w:val="0"/>
          <w:numId w:val="1027"/>
        </w:numPr>
        <w:pStyle w:val="Compact"/>
      </w:pPr>
      <w:r>
        <w:t xml:space="preserve">⚠️ 失效与风险：板块资金持续流出、业绩或产能周期恶化、反弹缩量；当前最该减仓观察。</w:t>
      </w:r>
    </w:p>
    <w:p>
      <w:pPr>
        <w:pStyle w:val="Heading3"/>
      </w:pPr>
      <w:bookmarkStart w:id="52" w:name="风语筑603466-700股成本13.2159元"/>
      <w:r>
        <w:t xml:space="preserve">📉 风语筑（603466）— 700股，成本13.2159元</w:t>
      </w:r>
      <w:bookmarkEnd w:id="52"/>
    </w:p>
    <w:p>
      <w:pPr>
        <w:numPr>
          <w:ilvl w:val="0"/>
          <w:numId w:val="1028"/>
        </w:numPr>
        <w:pStyle w:val="Compact"/>
      </w:pPr>
      <w:r>
        <w:t xml:space="preserve">📊 最新12.19元，单源跌幅1.61%；按现价浮亏718.13元，收益率 -7.76%。与AI应用/数字贸易有题材联系，但当下走势未共振。</w:t>
      </w:r>
    </w:p>
    <w:p>
      <w:pPr>
        <w:numPr>
          <w:ilvl w:val="0"/>
          <w:numId w:val="1028"/>
        </w:numPr>
        <w:pStyle w:val="Compact"/>
      </w:pPr>
      <w:r>
        <w:t xml:space="preserve">💡 今日动作：持有观察，不追补；先看能否收复12.39元前收。</w:t>
      </w:r>
    </w:p>
    <w:p>
      <w:pPr>
        <w:numPr>
          <w:ilvl w:val="0"/>
          <w:numId w:val="1028"/>
        </w:numPr>
        <w:pStyle w:val="Compact"/>
      </w:pPr>
      <w:r>
        <w:t xml:space="preserve">🚫 减仓/离场触发：持续低于12.19元且AI应用板块高开低走；或反弹不能收复12.39元并再度转弱，可分批减仓。</w:t>
      </w:r>
    </w:p>
    <w:p>
      <w:pPr>
        <w:numPr>
          <w:ilvl w:val="0"/>
          <w:numId w:val="1028"/>
        </w:numPr>
        <w:pStyle w:val="Compact"/>
      </w:pPr>
      <w:r>
        <w:t xml:space="preserve">✅ 条件加仓：放量站稳12.39元、AI应用板块同步放量并有主力净流入确认后，才允许小仓加回。</w:t>
      </w:r>
    </w:p>
    <w:p>
      <w:pPr>
        <w:numPr>
          <w:ilvl w:val="0"/>
          <w:numId w:val="1028"/>
        </w:numPr>
        <w:pStyle w:val="Compact"/>
      </w:pPr>
      <w:r>
        <w:t xml:space="preserve">⚠️ 失效与风险：数贸会预期提前兑现、项目订单不及预期、主题波动大；未获资金验证前仍以跟踪为主。</w:t>
      </w:r>
    </w:p>
    <w:p>
      <w:pPr>
        <w:pStyle w:val="Heading3"/>
      </w:pPr>
      <w:bookmarkStart w:id="53" w:name="工商银行601398-1900股成本7.0601元"/>
      <w:r>
        <w:t xml:space="preserve">📈 工商银行（601398）— 1900股，成本7.0601元</w:t>
      </w:r>
      <w:bookmarkEnd w:id="53"/>
    </w:p>
    <w:p>
      <w:pPr>
        <w:numPr>
          <w:ilvl w:val="0"/>
          <w:numId w:val="1029"/>
        </w:numPr>
        <w:pStyle w:val="Compact"/>
      </w:pPr>
      <w:r>
        <w:t xml:space="preserve">📊 最新7.97元，单源跌幅1.97%；按现价浮盈1728.81元，收益率 12.89%。当前是已核验持仓中最稳健的底仓，但短线表现偏弱。</w:t>
      </w:r>
    </w:p>
    <w:p>
      <w:pPr>
        <w:numPr>
          <w:ilvl w:val="0"/>
          <w:numId w:val="1029"/>
        </w:numPr>
        <w:pStyle w:val="Compact"/>
      </w:pPr>
      <w:r>
        <w:t xml:space="preserve">💡 今日动作：持有为主并保护利润，不因盈利就忽略回撤；若银行板块企稳可继续作为组合对冲。</w:t>
      </w:r>
    </w:p>
    <w:p>
      <w:pPr>
        <w:numPr>
          <w:ilvl w:val="0"/>
          <w:numId w:val="1029"/>
        </w:numPr>
        <w:pStyle w:val="Compact"/>
      </w:pPr>
      <w:r>
        <w:t xml:space="preserve">🚫 减仓/离场触发：跌破7.97元后放量走弱，且银行板块与沪深300同步下行；可先减部分而非一次性清仓。</w:t>
      </w:r>
    </w:p>
    <w:p>
      <w:pPr>
        <w:numPr>
          <w:ilvl w:val="0"/>
          <w:numId w:val="1029"/>
        </w:numPr>
        <w:pStyle w:val="Compact"/>
      </w:pPr>
      <w:r>
        <w:t xml:space="preserve">✅ 条件加仓：重新站回8.13元前收、银行板块同步企稳且量能改善后，才考虑小幅增加；当前不追高。</w:t>
      </w:r>
    </w:p>
    <w:p>
      <w:pPr>
        <w:numPr>
          <w:ilvl w:val="0"/>
          <w:numId w:val="1029"/>
        </w:numPr>
        <w:pStyle w:val="Compact"/>
      </w:pPr>
      <w:r>
        <w:t xml:space="preserve">⚠️ 失效与风险：净息差压力、利率变化、防御资金获利兑现；底仓逻辑失效时应执行减仓。</w:t>
      </w:r>
    </w:p>
    <w:p>
      <w:pPr>
        <w:pStyle w:val="Heading3"/>
      </w:pPr>
      <w:bookmarkStart w:id="54" w:name="农业银行601288-5300股成本6.4244元"/>
      <w:r>
        <w:t xml:space="preserve">⚠️ 农业银行（601288）— 5300股，成本6.4244元</w:t>
      </w:r>
      <w:bookmarkEnd w:id="54"/>
    </w:p>
    <w:p>
      <w:pPr>
        <w:numPr>
          <w:ilvl w:val="0"/>
          <w:numId w:val="1030"/>
        </w:numPr>
        <w:pStyle w:val="Compact"/>
      </w:pPr>
      <w:r>
        <w:t xml:space="preserve">📊 最新价、涨跌幅和当前盈亏均未核验，不能计算收益率或给出虚构价位；量价、公告和支撑阻力同样未核验。</w:t>
      </w:r>
    </w:p>
    <w:p>
      <w:pPr>
        <w:numPr>
          <w:ilvl w:val="0"/>
          <w:numId w:val="1030"/>
        </w:numPr>
        <w:pStyle w:val="Compact"/>
      </w:pPr>
      <w:r>
        <w:t xml:space="preserve">💡 今日动作：持有观察，开盘取得实时行情后再决策；与工商银行同属国有大行，组合银行暴露较集中。</w:t>
      </w:r>
    </w:p>
    <w:p>
      <w:pPr>
        <w:numPr>
          <w:ilvl w:val="0"/>
          <w:numId w:val="1030"/>
        </w:numPr>
        <w:pStyle w:val="Compact"/>
      </w:pPr>
      <w:r>
        <w:t xml:space="preserve">🚫 减仓/离场触发：实时行情确认跌破最近有效交易日低点且放量，或银行板块与沪深300同步走弱；若两只银行同时转弱，优先降低合计仓位。</w:t>
      </w:r>
    </w:p>
    <w:p>
      <w:pPr>
        <w:numPr>
          <w:ilvl w:val="0"/>
          <w:numId w:val="1030"/>
        </w:numPr>
        <w:pStyle w:val="Compact"/>
      </w:pPr>
      <w:r>
        <w:t xml:space="preserve">✅ 条件加仓：仅在实时价格、公告均核验后，确认银行板块企稳、个股放量突破最近有效平台并回踩不破；禁止只因接近或低于成本价补仓。</w:t>
      </w:r>
    </w:p>
    <w:p>
      <w:pPr>
        <w:numPr>
          <w:ilvl w:val="0"/>
          <w:numId w:val="1030"/>
        </w:numPr>
        <w:pStyle w:val="Compact"/>
      </w:pPr>
      <w:r>
        <w:t xml:space="preserve">⚠️ 失效与风险：报价缺失、银行板块集中度、净息差与政策利率变化；在数据补齐前不执行加仓。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5" w:name="数据质量与执行清单"/>
      <w:r>
        <w:t xml:space="preserve">⚠️ 数据质量与执行清单</w:t>
      </w:r>
      <w:bookmarkEnd w:id="55"/>
    </w:p>
    <w:p>
      <w:pPr>
        <w:numPr>
          <w:ilvl w:val="0"/>
          <w:numId w:val="1031"/>
        </w:numPr>
        <w:pStyle w:val="Compact"/>
      </w:pPr>
      <w:r>
        <w:t xml:space="preserve">✅ 可用：指数三源交叉验证；同花顺涨跌家数与成交额单源；境外市场采集；华泰3只自选股报价单源。</w:t>
      </w:r>
    </w:p>
    <w:p>
      <w:pPr>
        <w:numPr>
          <w:ilvl w:val="0"/>
          <w:numId w:val="1031"/>
        </w:numPr>
        <w:pStyle w:val="Compact"/>
      </w:pPr>
      <w:r>
        <w:t xml:space="preserve">⚠️ 未核验：资金流TOP10、板块榜、活跃股、涨跌停样本、个股三源校验、农业银行行情、今日公告。</w:t>
      </w:r>
    </w:p>
    <w:p>
      <w:pPr>
        <w:numPr>
          <w:ilvl w:val="0"/>
          <w:numId w:val="1031"/>
        </w:numPr>
        <w:pStyle w:val="Compact"/>
      </w:pPr>
      <w:r>
        <w:t xml:space="preserve">📊 仓位模型：激进80%、均衡65%、保守50%，置信度 normal；成交额比较口径为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，不使用成交额变化百分比。</w:t>
      </w:r>
    </w:p>
    <w:p>
      <w:pPr>
        <w:numPr>
          <w:ilvl w:val="0"/>
          <w:numId w:val="1031"/>
        </w:numPr>
        <w:pStyle w:val="Compact"/>
      </w:pPr>
      <w:r>
        <w:t xml:space="preserve">💡 开盘后第一优先级是补齐资金流与板块量价；第二优先级是核验4只实盘持仓实时价与公告；两项未完成前不把观察方向升级为主攻。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生成时间：2026-09-08 08:38（北京时间，Asia/Shanghai）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2026-09-08T00:39:08Z</dcterms:created>
  <dcterms:modified xsi:type="dcterms:W3CDTF">2026-09-08T00:39:08Z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