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Heading1"/>
      </w:pPr>
      <w:bookmarkStart w:id="20" w:name="午盘总结-2026-09-08周二"/>
      <w:r>
        <w:t xml:space="preserve">🕐 午盘总结 | 2026-09-08（周二）</w:t>
      </w:r>
      <w:bookmarkEnd w:id="20"/>
    </w:p>
    <w:p>
      <w:pPr>
        <w:pStyle w:val="BlockText"/>
      </w:pPr>
      <w:r>
        <w:t xml:space="preserve">数据基准：指数行情截至11:35—11:45，涨跌分布截至11:44:46。关键源覆盖3/7；指数获新浪、东方财富、腾讯三源交叉验证，涨跌家数与全市场成交额为同花顺单源。东方财富资金流、板块排行、活跃股、涨跌停样本及核心个股交叉校验均因HTTP 502失败，相关项目严格降级为</w:t>
      </w:r>
      <w:r>
        <w:t xml:space="preserve">“</w:t>
      </w:r>
      <w:r>
        <w:t xml:space="preserve">未核验</w:t>
      </w:r>
      <w:r>
        <w:t xml:space="preserve">”</w:t>
      </w:r>
      <w:r>
        <w:t xml:space="preserve">。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21" w:name="上午行情概览"/>
      <w:r>
        <w:t xml:space="preserve">📊 上午行情概览</w:t>
      </w:r>
      <w:bookmarkEnd w:id="21"/>
    </w:p>
    <w:p>
      <w:pPr>
        <w:numPr>
          <w:ilvl w:val="0"/>
          <w:numId w:val="1001"/>
        </w:numPr>
        <w:pStyle w:val="Compact"/>
      </w:pPr>
      <w:r>
        <w:t xml:space="preserve">📈 上证指数报3946.9889点，上涨0.3634%；深证成指报13782.046点，上涨0.0518%；📉创业板指报3393.501点，下跌0.1524%。三项均获新浪、东方财富、腾讯交叉验证。</w:t>
      </w:r>
    </w:p>
    <w:p>
      <w:pPr>
        <w:numPr>
          <w:ilvl w:val="0"/>
          <w:numId w:val="1001"/>
        </w:numPr>
        <w:pStyle w:val="Compact"/>
      </w:pPr>
      <w:r>
        <w:t xml:space="preserve">📉 科创50报1608.7279点，下跌0.4211%；沪深300报4577.9022点，上涨0.0629%。市场呈</w:t>
      </w:r>
      <w:r>
        <w:t xml:space="preserve">“</w:t>
      </w:r>
      <w:r>
        <w:t xml:space="preserve">沪强深弱、价值略强于成长</w:t>
      </w:r>
      <w:r>
        <w:t xml:space="preserve">”</w:t>
      </w:r>
      <w:r>
        <w:t xml:space="preserve">的震荡分化。</w:t>
      </w:r>
    </w:p>
    <w:p>
      <w:pPr>
        <w:numPr>
          <w:ilvl w:val="0"/>
          <w:numId w:val="1001"/>
        </w:numPr>
        <w:pStyle w:val="Compact"/>
      </w:pPr>
      <w:r>
        <w:t xml:space="preserve">💰 同花顺单源显示全市场半日成交额12663.40亿元，预测全天19825.73亿元；</w:t>
      </w:r>
      <w:r>
        <w:rPr>
          <w:rStyle w:val="VerbatimChar"/>
        </w:rPr>
        <w:t xml:space="preserve">turnover_comparison_scope=unverified</w:t>
      </w:r>
      <w:r>
        <w:t xml:space="preserve">，因此不引用</w:t>
      </w:r>
      <w:r>
        <w:t xml:space="preserve">“</w:t>
      </w:r>
      <w:r>
        <w:t xml:space="preserve">较昨日</w:t>
      </w:r>
      <w:r>
        <w:t xml:space="preserve">”</w:t>
      </w:r>
      <w:r>
        <w:t xml:space="preserve">117.13亿元，也不计算同比变化百分比。</w:t>
      </w:r>
    </w:p>
    <w:p>
      <w:pPr>
        <w:numPr>
          <w:ilvl w:val="0"/>
          <w:numId w:val="1001"/>
        </w:numPr>
        <w:pStyle w:val="Compact"/>
      </w:pPr>
      <w:r>
        <w:t xml:space="preserve">📈 同花顺单源显示上涨3463家、下跌1948家、平盘138家、停牌9家，涨停72家、跌停0家；广度偏正，但结构化涨停名单缺失，不能判断涨停集中在哪条产业链。</w:t>
      </w:r>
    </w:p>
    <w:p>
      <w:pPr>
        <w:numPr>
          <w:ilvl w:val="0"/>
          <w:numId w:val="1001"/>
        </w:numPr>
        <w:pStyle w:val="Compact"/>
      </w:pPr>
      <w:r>
        <w:t xml:space="preserve">🎭 一句话特征：指数接近平盘、个股多数上涨，低位题材活跃而科技成长承压，属于赚钱效应尚可但主线证据不完整的均衡震荡。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22" w:name="领涨板块-top10-龙头股"/>
      <w:r>
        <w:t xml:space="preserve">🔥 领涨板块 TOP10 &amp; 龙头股</w:t>
      </w:r>
      <w:bookmarkEnd w:id="22"/>
    </w:p>
    <w:p>
      <w:pPr>
        <w:numPr>
          <w:ilvl w:val="0"/>
          <w:numId w:val="1002"/>
        </w:numPr>
        <w:pStyle w:val="Compact"/>
      </w:pPr>
      <w:r>
        <w:t xml:space="preserve">⚠️ 领涨板块TOP10：未核验。</w:t>
      </w:r>
      <w:r>
        <w:rPr>
          <w:rStyle w:val="VerbatimChar"/>
        </w:rPr>
        <w:t xml:space="preserve">sources.sector_performance.ok=false</w:t>
      </w:r>
      <w:r>
        <w:t xml:space="preserve">，采集JSON没有真实板块涨幅榜，禁止用华泰文本顺序伪装为正式TOP10。</w:t>
      </w:r>
    </w:p>
    <w:p>
      <w:pPr>
        <w:numPr>
          <w:ilvl w:val="0"/>
          <w:numId w:val="1002"/>
        </w:numPr>
        <w:pStyle w:val="Compact"/>
      </w:pPr>
      <w:r>
        <w:t xml:space="preserve">📌 华泰补充线索显示农业种植、化肥、文化传媒、代糖/甜味剂、有色铜和房地产服务活跃；该结论未获本地板块榜及资金流交叉验证，只能作为午后观察线索。</w:t>
      </w:r>
    </w:p>
    <w:p>
      <w:pPr>
        <w:numPr>
          <w:ilvl w:val="0"/>
          <w:numId w:val="1002"/>
        </w:numPr>
        <w:pStyle w:val="Compact"/>
      </w:pPr>
      <w:r>
        <w:t xml:space="preserve">🌾 农业/化肥线索：亚盛集团4连板、敦煌种业8天5板；苏垦农发、中粮糖业、泸天化、川发龙蟒、金正大、赤天化被华泰文本标注涨停。结构化涨停样本缺失，板块扩散强度仍需午后盘口确认。</w:t>
      </w:r>
    </w:p>
    <w:p>
      <w:pPr>
        <w:numPr>
          <w:ilvl w:val="0"/>
          <w:numId w:val="1002"/>
        </w:numPr>
        <w:pStyle w:val="Compact"/>
      </w:pPr>
      <w:r>
        <w:t xml:space="preserve">🎬 文化传媒线索：中信出版被标注20cm涨停，中国出版3连板、读者传媒2连板；风语筑报12.67元、上涨3.94%，与文化传媒方向存在共振，但其行情仅为华泰单源。</w:t>
      </w:r>
    </w:p>
    <w:p>
      <w:pPr>
        <w:numPr>
          <w:ilvl w:val="0"/>
          <w:numId w:val="1002"/>
        </w:numPr>
        <w:pStyle w:val="Compact"/>
      </w:pPr>
      <w:r>
        <w:t xml:space="preserve">💰 华泰选股结果中的高活跃样本：杭电股份40.66元、上涨10.01%、主力净流入5.87亿元；赤天化4.96元、上涨9.98%、净流入3.52亿元；我爱我家3.44元、上涨9.90%、净流入2.52亿元。上述为华泰筛选样本，不等同全市场资金流入TOP10。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23" w:name="资金流向"/>
      <w:r>
        <w:t xml:space="preserve">💰 资金流向</w:t>
      </w:r>
      <w:bookmarkEnd w:id="23"/>
    </w:p>
    <w:p>
      <w:pPr>
        <w:numPr>
          <w:ilvl w:val="0"/>
          <w:numId w:val="1003"/>
        </w:numPr>
        <w:pStyle w:val="Compact"/>
      </w:pPr>
      <w:r>
        <w:t xml:space="preserve">💰 主力净流入TOP10：未核验。</w:t>
      </w:r>
      <w:r>
        <w:rPr>
          <w:rStyle w:val="VerbatimChar"/>
        </w:rPr>
        <w:t xml:space="preserve">sources.money_flow.ok=false</w:t>
      </w:r>
      <w:r>
        <w:t xml:space="preserve">且没有任何可用正式榜单或金额，不能自行补齐10项。</w:t>
      </w:r>
    </w:p>
    <w:p>
      <w:pPr>
        <w:numPr>
          <w:ilvl w:val="0"/>
          <w:numId w:val="1003"/>
        </w:numPr>
        <w:pStyle w:val="Compact"/>
      </w:pPr>
      <w:r>
        <w:t xml:space="preserve">⚠️ 主力净流出TOP10：未核验。采集JSON没有真实流出榜及金额，不能把弱势板块文本替代为资金流出数据。</w:t>
      </w:r>
    </w:p>
    <w:p>
      <w:pPr>
        <w:numPr>
          <w:ilvl w:val="0"/>
          <w:numId w:val="1003"/>
        </w:numPr>
        <w:pStyle w:val="Compact"/>
      </w:pPr>
      <w:r>
        <w:t xml:space="preserve">📌 可用的华泰单源个股样本仅作线索：杭电股份5.87亿元、赤天化3.52亿元、我爱我家2.52亿元、新力金融1.54亿元、永安药业1.30亿元、川金诺1.20亿元、剑桥科技9452.63万元、金牛化工8019.13万元、崇达技术4627.76万元、丝路视觉3758.92万元。</w:t>
      </w:r>
    </w:p>
    <w:p>
      <w:pPr>
        <w:numPr>
          <w:ilvl w:val="0"/>
          <w:numId w:val="1003"/>
        </w:numPr>
        <w:pStyle w:val="Compact"/>
      </w:pPr>
      <w:r>
        <w:t xml:space="preserve">⚠️ 上述10只是</w:t>
      </w:r>
      <w:r>
        <w:t xml:space="preserve">“</w:t>
      </w:r>
      <w:r>
        <w:t xml:space="preserve">净流入、涨幅、换手率均位于前10%</w:t>
      </w:r>
      <w:r>
        <w:t xml:space="preserve">”</w:t>
      </w:r>
      <w:r>
        <w:t xml:space="preserve">筛选结果，不是按净流入金额排序的全市场TOP10；不得据此宣称市场资金总攻某一板块。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24" w:name="资金流出预警"/>
      <w:r>
        <w:t xml:space="preserve">⚠️ 资金流出预警</w:t>
      </w:r>
      <w:bookmarkEnd w:id="24"/>
    </w:p>
    <w:p>
      <w:pPr>
        <w:numPr>
          <w:ilvl w:val="0"/>
          <w:numId w:val="1004"/>
        </w:numPr>
        <w:pStyle w:val="Compact"/>
      </w:pPr>
      <w:r>
        <w:t xml:space="preserve">📉 液冷服务器、光刻机/半导体、兵装重组、消费电子、稀土、汽车零部件和机器人被华泰盘面文本列为调整方向，但正式净流出金额全部未核验。</w:t>
      </w:r>
    </w:p>
    <w:p>
      <w:pPr>
        <w:numPr>
          <w:ilvl w:val="0"/>
          <w:numId w:val="1004"/>
        </w:numPr>
        <w:pStyle w:val="Compact"/>
      </w:pPr>
      <w:r>
        <w:t xml:space="preserve">⚠️ 科技方向存在来源内部表述分歧：华泰</w:t>
      </w:r>
      <w:r>
        <w:rPr>
          <w:rStyle w:val="VerbatimChar"/>
        </w:rPr>
        <w:t xml:space="preserve">query_indicator</w:t>
      </w:r>
      <w:r>
        <w:t xml:space="preserve">称液冷、光刻机及半导体走弱，</w:t>
      </w:r>
      <w:r>
        <w:rPr>
          <w:rStyle w:val="VerbatimChar"/>
        </w:rPr>
        <w:t xml:space="preserve">market_insight</w:t>
      </w:r>
      <w:r>
        <w:t xml:space="preserve">则称算力硬件仍有持续性。两者不能静默合并，午后应以PCB、光模块龙头是否回稳和资金榜是否恢复为裁决条件。</w:t>
      </w:r>
    </w:p>
    <w:p>
      <w:pPr>
        <w:numPr>
          <w:ilvl w:val="0"/>
          <w:numId w:val="1004"/>
        </w:numPr>
        <w:pStyle w:val="Compact"/>
      </w:pPr>
      <w:r>
        <w:t xml:space="preserve">🚫 若科技龙头批量开板下压、板块不能随指数回稳，应按高位兑现处理；若缩量止跌并由杭电股份、剑桥科技、崇达技术等高辨识度样本继续承接，才可降级为轮动而非退潮。</w:t>
      </w:r>
    </w:p>
    <w:p>
      <w:pPr>
        <w:numPr>
          <w:ilvl w:val="0"/>
          <w:numId w:val="1004"/>
        </w:numPr>
        <w:pStyle w:val="Compact"/>
      </w:pPr>
      <w:r>
        <w:t xml:space="preserve">📉 银行并非主攻方向：工商银行报7.92元、下跌0.63%，更多承担防御与指数稳定作用；银行板块正式资金流同样未核验。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25" w:name="盘前预判-vs-实盘"/>
      <w:r>
        <w:t xml:space="preserve">🎯 盘前预判 vs 实盘</w:t>
      </w:r>
      <w:bookmarkEnd w:id="25"/>
    </w:p>
    <w:p>
      <w:pPr>
        <w:pStyle w:val="Heading3"/>
      </w:pPr>
      <w:bookmarkStart w:id="26" w:name="命中点"/>
      <w:r>
        <w:t xml:space="preserve">✅ 命中点</w:t>
      </w:r>
      <w:bookmarkEnd w:id="26"/>
    </w:p>
    <w:p>
      <w:pPr>
        <w:numPr>
          <w:ilvl w:val="0"/>
          <w:numId w:val="1005"/>
        </w:numPr>
        <w:pStyle w:val="Compact"/>
      </w:pPr>
      <w:r>
        <w:t xml:space="preserve">📊 盘前判断</w:t>
      </w:r>
      <w:r>
        <w:t xml:space="preserve">“</w:t>
      </w:r>
      <w:r>
        <w:t xml:space="preserve">震荡偏多、分化概率高</w:t>
      </w:r>
      <w:r>
        <w:t xml:space="preserve">”</w:t>
      </w:r>
      <w:r>
        <w:t xml:space="preserve">基本命中：上证上涨0.3634%，深证仅上涨0.0518%，创业板与科创50分别下跌0.1524%和0.4211%。</w:t>
      </w:r>
    </w:p>
    <w:p>
      <w:pPr>
        <w:numPr>
          <w:ilvl w:val="0"/>
          <w:numId w:val="1005"/>
        </w:numPr>
        <w:pStyle w:val="Compact"/>
      </w:pPr>
      <w:r>
        <w:t xml:space="preserve">🎬 盘前关注的AI应用/数字文化出现局部兑现：风语筑从盘前12.19元回升至12.67元，上午上涨3.94%，但尚不能外推为整个AI应用板块走强。</w:t>
      </w:r>
    </w:p>
    <w:p>
      <w:pPr>
        <w:numPr>
          <w:ilvl w:val="0"/>
          <w:numId w:val="1005"/>
        </w:numPr>
        <w:pStyle w:val="Compact"/>
      </w:pPr>
      <w:r>
        <w:t xml:space="preserve">🏦 盘前将国有大行定义为防御底仓而非进攻主线符合上午表现：工商银行下跌0.63%，未形成追涨信号。</w:t>
      </w:r>
    </w:p>
    <w:p>
      <w:pPr>
        <w:numPr>
          <w:ilvl w:val="0"/>
          <w:numId w:val="1005"/>
        </w:numPr>
        <w:pStyle w:val="Compact"/>
      </w:pPr>
      <w:r>
        <w:t xml:space="preserve">⚠️ 盘前强调不追高得到验证：农业、化肥、传媒多只样本已触及涨停或连板，午后新增仓位面临冲高兑现风险。</w:t>
      </w:r>
    </w:p>
    <w:p>
      <w:pPr>
        <w:pStyle w:val="Heading3"/>
      </w:pPr>
      <w:bookmarkStart w:id="27" w:name="偏差点"/>
      <w:r>
        <w:t xml:space="preserve">❌ 偏差点</w:t>
      </w:r>
      <w:bookmarkEnd w:id="27"/>
    </w:p>
    <w:p>
      <w:pPr>
        <w:numPr>
          <w:ilvl w:val="0"/>
          <w:numId w:val="1006"/>
        </w:numPr>
        <w:pStyle w:val="Compact"/>
      </w:pPr>
      <w:r>
        <w:t xml:space="preserve">🌾 盘前未把农业种植/化肥列入前三方向，上午华泰补充信息显示该方向成为最强题材线索，是主要偏差。</w:t>
      </w:r>
    </w:p>
    <w:p>
      <w:pPr>
        <w:numPr>
          <w:ilvl w:val="0"/>
          <w:numId w:val="1006"/>
        </w:numPr>
        <w:pStyle w:val="Compact"/>
      </w:pPr>
      <w:r>
        <w:t xml:space="preserve">🏗️ 盘前关注水利/交通基建，上午没有结构化板块榜、资金流或活跃股证据确认，暂未命中，午后降级观察。</w:t>
      </w:r>
    </w:p>
    <w:p>
      <w:pPr>
        <w:numPr>
          <w:ilvl w:val="0"/>
          <w:numId w:val="1006"/>
        </w:numPr>
        <w:pStyle w:val="Compact"/>
      </w:pPr>
      <w:r>
        <w:t xml:space="preserve">🤖 盘前关注科技修复，但上午创业板与科创50转弱，且华泰两个文本源对算力硬件强弱表述冲突，不能继续按原预案提高仓位。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28" w:name="下午盘操作建议"/>
      <w:r>
        <w:t xml:space="preserve">🎯 下午盘操作建议</w:t>
      </w:r>
      <w:bookmarkEnd w:id="28"/>
    </w:p>
    <w:p>
      <w:pPr>
        <w:numPr>
          <w:ilvl w:val="0"/>
          <w:numId w:val="1007"/>
        </w:numPr>
        <w:pStyle w:val="Compact"/>
      </w:pPr>
      <w:r>
        <w:t xml:space="preserve">📊 市场判断：采用</w:t>
      </w:r>
      <w:r>
        <w:rPr>
          <w:rStyle w:val="VerbatimChar"/>
        </w:rPr>
        <w:t xml:space="preserve">derived.market_style=震荡/均衡</w:t>
      </w:r>
      <w:r>
        <w:t xml:space="preserve">。上涨家数明显多于下跌家数，但指数平均涨跌幅仅-0.02%，适合结构交易，不适合全面加杠杆。</w:t>
      </w:r>
    </w:p>
    <w:p>
      <w:pPr>
        <w:numPr>
          <w:ilvl w:val="0"/>
          <w:numId w:val="1007"/>
        </w:numPr>
        <w:pStyle w:val="Compact"/>
      </w:pPr>
      <w:r>
        <w:t xml:space="preserve">💡 激进型：仓位上限60%。只参与农业/化肥的分歧回封或传媒的回踩承接，不追已经连续涨停的高位样本；科技必须等冲突信号被盘口化解。</w:t>
      </w:r>
    </w:p>
    <w:p>
      <w:pPr>
        <w:numPr>
          <w:ilvl w:val="0"/>
          <w:numId w:val="1007"/>
        </w:numPr>
        <w:pStyle w:val="Compact"/>
      </w:pPr>
      <w:r>
        <w:t xml:space="preserve">💡 稳健型：仓位上限45%。保留现金，优先持有有利润垫的防御仓；新开仓等待板块资金榜恢复，或至少出现龙头、板块指数、成交三者同步确认。</w:t>
      </w:r>
    </w:p>
    <w:p>
      <w:pPr>
        <w:numPr>
          <w:ilvl w:val="0"/>
          <w:numId w:val="1007"/>
        </w:numPr>
        <w:pStyle w:val="Compact"/>
      </w:pPr>
      <w:r>
        <w:t xml:space="preserve">💡 保守型：仓位上限30%。不因3463家上涨而追高，重点防范午后题材兑现及成长指数继续走弱。</w:t>
      </w:r>
    </w:p>
    <w:p>
      <w:pPr>
        <w:numPr>
          <w:ilvl w:val="0"/>
          <w:numId w:val="1007"/>
        </w:numPr>
        <w:pStyle w:val="Compact"/>
      </w:pPr>
      <w:r>
        <w:t xml:space="preserve">🚫 回避/减仓：高位连板的农业与传媒跟风股、无法确认资金承接的半导体/液冷反抽、单纯因亏损而补仓的光伏标的。</w:t>
      </w:r>
    </w:p>
    <w:p>
      <w:pPr>
        <w:numPr>
          <w:ilvl w:val="0"/>
          <w:numId w:val="1007"/>
        </w:numPr>
        <w:pStyle w:val="Compact"/>
      </w:pPr>
      <w:r>
        <w:t xml:space="preserve">⚠️ 风险锚：沪指上午高点3951.3221点。若午后冲击该位置失败并伴随上涨家数快速收缩，仓位应向模型下限靠拢；若站稳且主线资金恢复可见，才允许逐步增加进攻仓。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29" w:name="下午投资方向分层"/>
      <w:r>
        <w:t xml:space="preserve">🎯 下午投资方向分层</w:t>
      </w:r>
      <w:bookmarkEnd w:id="29"/>
    </w:p>
    <w:p>
      <w:pPr>
        <w:pStyle w:val="Heading3"/>
      </w:pPr>
      <w:bookmarkStart w:id="30" w:name="方向一农业种植化肥农资可参与优先级高但不追高"/>
      <w:r>
        <w:t xml:space="preserve">🌾 方向一：农业种植—化肥/农资（可参与，优先级：高但不追高）</w:t>
      </w:r>
      <w:bookmarkEnd w:id="30"/>
    </w:p>
    <w:p>
      <w:pPr>
        <w:numPr>
          <w:ilvl w:val="0"/>
          <w:numId w:val="1008"/>
        </w:numPr>
        <w:pStyle w:val="Compact"/>
      </w:pPr>
      <w:r>
        <w:t xml:space="preserve">📌 证据链：① 华泰盘面文本显示农业种植、化肥批量涨停；② 赤天化上涨9.98%、净流入3.52亿元，川金诺上涨12.37%、净流入1.20亿元，金牛化工上涨6.34%、净流入8019.13万元；③ 全市场上涨3463家、涨停72家，具备题材扩散环境。板块涨幅和正式资金榜缺失，证据均需降一级看待。</w:t>
      </w:r>
    </w:p>
    <w:p>
      <w:pPr>
        <w:numPr>
          <w:ilvl w:val="0"/>
          <w:numId w:val="1008"/>
        </w:numPr>
        <w:pStyle w:val="Compact"/>
      </w:pPr>
      <w:r>
        <w:t xml:space="preserve">🔥 核心标的：赤天化（资金与涨停辨识度样本）、川金诺（高弹性化肥样本）、金牛化工（高换手资金样本）；亚盛集团、敦煌种业仅作连板情绪锚，不建议午后追价。</w:t>
      </w:r>
    </w:p>
    <w:p>
      <w:pPr>
        <w:numPr>
          <w:ilvl w:val="0"/>
          <w:numId w:val="1008"/>
        </w:numPr>
        <w:pStyle w:val="Compact"/>
      </w:pPr>
      <w:r>
        <w:t xml:space="preserve">💡 参与策略：激进型只做龙头分歧后的承接或未加速的低位补涨；稳健型等待板块午后回踩不破上午中枢；保守型不参与高位题材。</w:t>
      </w:r>
    </w:p>
    <w:p>
      <w:pPr>
        <w:numPr>
          <w:ilvl w:val="0"/>
          <w:numId w:val="1008"/>
        </w:numPr>
        <w:pStyle w:val="Compact"/>
      </w:pPr>
      <w:r>
        <w:t xml:space="preserve">✅ 触发条件：化肥龙头维持封板、板块不出现批量炸板、相关个股成交活跃度延续。</w:t>
      </w:r>
    </w:p>
    <w:p>
      <w:pPr>
        <w:numPr>
          <w:ilvl w:val="0"/>
          <w:numId w:val="1008"/>
        </w:numPr>
        <w:pStyle w:val="Compact"/>
      </w:pPr>
      <w:r>
        <w:t xml:space="preserve">🚫 失效条件：赤天化等核心样本开板后不能回封、农业与化肥同步转弱，或正式资金榜恢复后显示板块净流出。</w:t>
      </w:r>
    </w:p>
    <w:p>
      <w:pPr>
        <w:numPr>
          <w:ilvl w:val="0"/>
          <w:numId w:val="1008"/>
        </w:numPr>
        <w:pStyle w:val="Compact"/>
      </w:pPr>
      <w:r>
        <w:t xml:space="preserve">⚠️ 风险：催化叙事未由结构化新闻源核验，连板股高位兑现和题材快速轮动风险高。</w:t>
      </w:r>
    </w:p>
    <w:p>
      <w:pPr>
        <w:pStyle w:val="Heading3"/>
      </w:pPr>
      <w:bookmarkStart w:id="31" w:name="方向二文化传媒数字内容沉浸式体验可低吸跟踪优先级中"/>
      <w:r>
        <w:t xml:space="preserve">🎬 方向二：文化传媒—数字内容/沉浸式体验（可低吸跟踪，优先级：中）</w:t>
      </w:r>
      <w:bookmarkEnd w:id="31"/>
    </w:p>
    <w:p>
      <w:pPr>
        <w:numPr>
          <w:ilvl w:val="0"/>
          <w:numId w:val="1009"/>
        </w:numPr>
        <w:pStyle w:val="Compact"/>
      </w:pPr>
      <w:r>
        <w:t xml:space="preserve">📌 证据链：① 华泰文本显示中信出版、中国出版、读者传媒形成涨停梯队；② 风语筑12.67元、上涨3.94%，与数字文化方向共振；③ 丝路视觉18.20元、上涨6.62%、净流入3758.92万元，为华泰高活跃筛选样本。正式板块资金与成交排行未核验。</w:t>
      </w:r>
    </w:p>
    <w:p>
      <w:pPr>
        <w:numPr>
          <w:ilvl w:val="0"/>
          <w:numId w:val="1009"/>
        </w:numPr>
        <w:pStyle w:val="Compact"/>
      </w:pPr>
      <w:r>
        <w:t xml:space="preserve">🔥 核心标的：风语筑（自选股且上午转强）、丝路视觉（高换手资金样本）、中国出版（连板情绪锚，具体价格未核验）。</w:t>
      </w:r>
    </w:p>
    <w:p>
      <w:pPr>
        <w:numPr>
          <w:ilvl w:val="0"/>
          <w:numId w:val="1009"/>
        </w:numPr>
        <w:pStyle w:val="Compact"/>
      </w:pPr>
      <w:r>
        <w:t xml:space="preserve">💡 参与策略：激进型观察风语筑回踩12.66元买一附近能否承接；稳健型等待板块分歧后再看；保守型只跟踪，不追涨停梯队。</w:t>
      </w:r>
    </w:p>
    <w:p>
      <w:pPr>
        <w:numPr>
          <w:ilvl w:val="0"/>
          <w:numId w:val="1009"/>
        </w:numPr>
        <w:pStyle w:val="Compact"/>
      </w:pPr>
      <w:r>
        <w:t xml:space="preserve">✅ 触发条件：风语筑守住12.19元前收并维持红盘，出版梯队不大面积炸板，板块成交继续活跃。</w:t>
      </w:r>
    </w:p>
    <w:p>
      <w:pPr>
        <w:numPr>
          <w:ilvl w:val="0"/>
          <w:numId w:val="1009"/>
        </w:numPr>
        <w:pStyle w:val="Compact"/>
      </w:pPr>
      <w:r>
        <w:t xml:space="preserve">🚫 失效条件：风语筑跌回12.19元下方、传媒梯队批量开板，或资金榜恢复后显示持续净流出。</w:t>
      </w:r>
    </w:p>
    <w:p>
      <w:pPr>
        <w:numPr>
          <w:ilvl w:val="0"/>
          <w:numId w:val="1009"/>
        </w:numPr>
        <w:pStyle w:val="Compact"/>
      </w:pPr>
      <w:r>
        <w:t xml:space="preserve">⚠️ 风险：题材持续性依赖情绪，前排加速后容易压缩后排空间。</w:t>
      </w:r>
    </w:p>
    <w:p>
      <w:pPr>
        <w:pStyle w:val="Heading3"/>
      </w:pPr>
      <w:bookmarkStart w:id="32" w:name="方向三ai算力pcb光模块只观察优先级冲突待确认"/>
      <w:r>
        <w:t xml:space="preserve">🤖 方向三：AI算力—PCB/光模块（只观察，优先级：冲突待确认）</w:t>
      </w:r>
      <w:bookmarkEnd w:id="32"/>
    </w:p>
    <w:p>
      <w:pPr>
        <w:numPr>
          <w:ilvl w:val="0"/>
          <w:numId w:val="1010"/>
        </w:numPr>
        <w:pStyle w:val="Compact"/>
      </w:pPr>
      <w:r>
        <w:t xml:space="preserve">📌 证据链：① 杭电股份上涨10.01%、净流入5.87亿元；② 剑桥科技上涨8.30%、净流入9452.63万元，崇达技术上涨8.43%、净流入4627.76万元；③ 华泰</w:t>
      </w:r>
      <w:r>
        <w:rPr>
          <w:rStyle w:val="VerbatimChar"/>
        </w:rPr>
        <w:t xml:space="preserve">market_insight</w:t>
      </w:r>
      <w:r>
        <w:t xml:space="preserve">判断算力硬件偏强，但</w:t>
      </w:r>
      <w:r>
        <w:rPr>
          <w:rStyle w:val="VerbatimChar"/>
        </w:rPr>
        <w:t xml:space="preserve">query_indicator</w:t>
      </w:r>
      <w:r>
        <w:t xml:space="preserve">同时记录液冷与半导体承压，结论存在冲突。</w:t>
      </w:r>
    </w:p>
    <w:p>
      <w:pPr>
        <w:numPr>
          <w:ilvl w:val="0"/>
          <w:numId w:val="1010"/>
        </w:numPr>
        <w:pStyle w:val="Compact"/>
      </w:pPr>
      <w:r>
        <w:t xml:space="preserve">🔥 核心标的：杭电股份（资金强度样本）、剑桥科技（光模块高辨识度样本）、崇达技术（PCB活跃样本）。三者缺少新浪/东财/腾讯行情交叉校验，不作强确定推荐。</w:t>
      </w:r>
    </w:p>
    <w:p>
      <w:pPr>
        <w:numPr>
          <w:ilvl w:val="0"/>
          <w:numId w:val="1010"/>
        </w:numPr>
        <w:pStyle w:val="Compact"/>
      </w:pPr>
      <w:r>
        <w:t xml:space="preserve">💡 参与策略：激进型也只允许小仓试错；稳健型等待科技指数止跌；保守型继续观察。</w:t>
      </w:r>
    </w:p>
    <w:p>
      <w:pPr>
        <w:numPr>
          <w:ilvl w:val="0"/>
          <w:numId w:val="1010"/>
        </w:numPr>
        <w:pStyle w:val="Compact"/>
      </w:pPr>
      <w:r>
        <w:t xml:space="preserve">✅ 触发条件：科创50收复1615.5305点前收、创业板同步翻红，且上述核心样本不出现冲高回落。</w:t>
      </w:r>
    </w:p>
    <w:p>
      <w:pPr>
        <w:numPr>
          <w:ilvl w:val="0"/>
          <w:numId w:val="1010"/>
        </w:numPr>
        <w:pStyle w:val="Compact"/>
      </w:pPr>
      <w:r>
        <w:t xml:space="preserve">🚫 失效条件：科创50继续走弱、核心样本批量炸板或高位回落、正式资金流恢复后显示科技净流出。</w:t>
      </w:r>
    </w:p>
    <w:p>
      <w:pPr>
        <w:numPr>
          <w:ilvl w:val="0"/>
          <w:numId w:val="1010"/>
        </w:numPr>
        <w:pStyle w:val="Compact"/>
      </w:pPr>
      <w:r>
        <w:t xml:space="preserve">⚠️ 风险：昨日科技修复后的兑现、内部强弱分化及高估值波动。</w:t>
      </w:r>
    </w:p>
    <w:p>
      <w:pPr>
        <w:pStyle w:val="Heading3"/>
      </w:pPr>
      <w:bookmarkStart w:id="33" w:name="方向四国有大行防御持有不作为主攻"/>
      <w:r>
        <w:t xml:space="preserve">🏦 方向四：国有大行（防御持有，不作为主攻）</w:t>
      </w:r>
      <w:bookmarkEnd w:id="33"/>
    </w:p>
    <w:p>
      <w:pPr>
        <w:numPr>
          <w:ilvl w:val="0"/>
          <w:numId w:val="1011"/>
        </w:numPr>
        <w:pStyle w:val="Compact"/>
      </w:pPr>
      <w:r>
        <w:t xml:space="preserve">📌 证据链：① 沪深300上涨0.0629%，强于创业板和科创50；② 工商银行7.92元、下跌0.63%，走势偏弱但波动低于成长方向；③ 用户组合同时持有工商银行和农业银行，银行暴露已经较高。农业银行实时价与板块资金未核验。</w:t>
      </w:r>
    </w:p>
    <w:p>
      <w:pPr>
        <w:numPr>
          <w:ilvl w:val="0"/>
          <w:numId w:val="1011"/>
        </w:numPr>
        <w:pStyle w:val="Compact"/>
      </w:pPr>
      <w:r>
        <w:t xml:space="preserve">🔥 核心标的：工商银行（已取得华泰单源午间报价）、农业银行（实时行情缺失，仅作持仓跟踪）。</w:t>
      </w:r>
    </w:p>
    <w:p>
      <w:pPr>
        <w:numPr>
          <w:ilvl w:val="0"/>
          <w:numId w:val="1011"/>
        </w:numPr>
        <w:pStyle w:val="Compact"/>
      </w:pPr>
      <w:r>
        <w:t xml:space="preserve">💡 参与策略：以已有仓位防御为主，不新增集中度；工商银行保护利润，农业银行等行情核验后再处理。</w:t>
      </w:r>
    </w:p>
    <w:p>
      <w:pPr>
        <w:numPr>
          <w:ilvl w:val="0"/>
          <w:numId w:val="1011"/>
        </w:numPr>
        <w:pStyle w:val="Compact"/>
      </w:pPr>
      <w:r>
        <w:t xml:space="preserve">✅ 触发条件：银行板块与沪深300同步转强、工商银行重新站上7.97元前收。</w:t>
      </w:r>
    </w:p>
    <w:p>
      <w:pPr>
        <w:numPr>
          <w:ilvl w:val="0"/>
          <w:numId w:val="1011"/>
        </w:numPr>
        <w:pStyle w:val="Compact"/>
      </w:pPr>
      <w:r>
        <w:t xml:space="preserve">🚫 失效条件：工商银行跌破7.91元买一后持续走弱，且沪深300同步下行；农业银行若核验后也转弱，应降低银行合计仓位。</w:t>
      </w:r>
    </w:p>
    <w:p>
      <w:pPr>
        <w:numPr>
          <w:ilvl w:val="0"/>
          <w:numId w:val="1011"/>
        </w:numPr>
        <w:pStyle w:val="Compact"/>
      </w:pPr>
      <w:r>
        <w:t xml:space="preserve">⚠️ 风险：净息差、利率变化及防御资金兑现。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34" w:name="华泰自选股观察"/>
      <w:r>
        <w:t xml:space="preserve">🧾 华泰自选股观察</w:t>
      </w:r>
      <w:bookmarkEnd w:id="34"/>
    </w:p>
    <w:p>
      <w:pPr>
        <w:pStyle w:val="FirstParagraph"/>
      </w:pPr>
      <w:r>
        <w:t xml:space="preserve">自选股3只全部取得华泰模拟盘午间报价，但本轮核心个股新浪/东方财富/腾讯交叉校验失败，均按单源使用。风语筑与传媒主线线索共振；工商银行偏防御；弘元绿能所属光伏未获主线证据，以跟踪为主、暂不作为主攻方向。</w:t>
      </w:r>
    </w:p>
    <w:p>
      <w:pPr>
        <w:numPr>
          <w:ilvl w:val="0"/>
          <w:numId w:val="1012"/>
        </w:numPr>
        <w:pStyle w:val="Compact"/>
      </w:pPr>
      <w:r>
        <w:t xml:space="preserve">📉 603185 弘元绿能：最新15.03元、下跌0.86%，买一15.02元、卖一15.03元。所属光伏硅片/新能源制造，上午没有板块涨幅、资金流或活跃股证据支持，与当日农业/传媒线索不共振。判断：偏弱、继续观察，不追高；仅在光伏板块放量转强且个股收复15.16元前收后可低吸跟踪。</w:t>
      </w:r>
    </w:p>
    <w:p>
      <w:pPr>
        <w:numPr>
          <w:ilvl w:val="0"/>
          <w:numId w:val="1012"/>
        </w:numPr>
        <w:pStyle w:val="Compact"/>
      </w:pPr>
      <w:r>
        <w:t xml:space="preserve">📈 603466 风语筑：最新12.67元、上涨3.94%，买一12.66元、卖一12.67元。所属数字文化、沉浸式体验/AI应用，与文化传媒强势线索形成共振。判断：偏强但不追高；午后守住12.19元前收并在12.66元附近获得承接可继续观察，跌回前收下方则共振失效。</w:t>
      </w:r>
    </w:p>
    <w:p>
      <w:pPr>
        <w:numPr>
          <w:ilvl w:val="0"/>
          <w:numId w:val="1012"/>
        </w:numPr>
        <w:pStyle w:val="Compact"/>
      </w:pPr>
      <w:r>
        <w:t xml:space="preserve">📉 601398 工商银行：最新7.92元、下跌0.63%，买一7.91元、卖一7.92元。所属国有大行，与农业/传媒进攻线不共振，但可作为组合防御。判断：偏弱、持有观察，不作为主攻；重新站回7.97元前收才算修复，跌破7.91元后持续走弱应保护利润。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35" w:name="实盘持仓午后跟踪"/>
      <w:r>
        <w:t xml:space="preserve">💼 实盘持仓午后跟踪</w:t>
      </w:r>
      <w:bookmarkEnd w:id="35"/>
    </w:p>
    <w:p>
      <w:pPr>
        <w:numPr>
          <w:ilvl w:val="0"/>
          <w:numId w:val="1013"/>
        </w:numPr>
        <w:pStyle w:val="Compact"/>
      </w:pPr>
      <w:r>
        <w:t xml:space="preserve">📉 弘元绿能300股，成本26.6669元：按15.03元计算浮亏3491.07元、收益率-43.64%。午后动作是反弹减仓观察，不以回本为加仓理由；跌破15.02元后无法收复或光伏继续无板块共振，应降低暴露。</w:t>
      </w:r>
    </w:p>
    <w:p>
      <w:pPr>
        <w:numPr>
          <w:ilvl w:val="0"/>
          <w:numId w:val="1013"/>
        </w:numPr>
        <w:pStyle w:val="Compact"/>
      </w:pPr>
      <w:r>
        <w:t xml:space="preserve">📈 风语筑700股，成本13.2159元：按12.67元计算浮亏382.13元、收益率-4.13%。午后可持有观察，不追补；守住12.19元且传媒梯队稳定可继续跟踪，跌回12.19元下方则分批减仓。</w:t>
      </w:r>
    </w:p>
    <w:p>
      <w:pPr>
        <w:numPr>
          <w:ilvl w:val="0"/>
          <w:numId w:val="1013"/>
        </w:numPr>
        <w:pStyle w:val="Compact"/>
      </w:pPr>
      <w:r>
        <w:t xml:space="preserve">📈 工商银行1900股，成本7.0601元：按7.92元计算浮盈1633.81元、收益率12.18%。作为防御底仓持有并保护利润；跌破7.91元且沪深300同步走弱时先减部分，不因盈利而忽略趋势。</w:t>
      </w:r>
    </w:p>
    <w:p>
      <w:pPr>
        <w:numPr>
          <w:ilvl w:val="0"/>
          <w:numId w:val="1013"/>
        </w:numPr>
        <w:pStyle w:val="Compact"/>
      </w:pPr>
      <w:r>
        <w:t xml:space="preserve">⚠️ 农业银行5300股，成本6.4244元：午间最新价、涨跌幅和盈亏未核验，不能计算收益。维持条件式策略：报价补齐后若银行板块与个股同步转弱，优先降低两只银行的合计集中度；未核验前不加仓。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36" w:name="数据质量与午后核验清单"/>
      <w:r>
        <w:t xml:space="preserve">⚠️ 数据质量与午后核验清单</w:t>
      </w:r>
      <w:bookmarkEnd w:id="36"/>
    </w:p>
    <w:p>
      <w:pPr>
        <w:numPr>
          <w:ilvl w:val="0"/>
          <w:numId w:val="1014"/>
        </w:numPr>
        <w:pStyle w:val="Compact"/>
      </w:pPr>
      <w:r>
        <w:t xml:space="preserve">✅ 指数：新浪、东方财富、腾讯三源交叉验证通过，无显著差异。</w:t>
      </w:r>
    </w:p>
    <w:p>
      <w:pPr>
        <w:numPr>
          <w:ilvl w:val="0"/>
          <w:numId w:val="1014"/>
        </w:numPr>
        <w:pStyle w:val="Compact"/>
      </w:pPr>
      <w:r>
        <w:t xml:space="preserve">🟡 市场广度与成交额：同花顺单源可用；成交额比较口径为</w:t>
      </w:r>
      <w:r>
        <w:rPr>
          <w:rStyle w:val="VerbatimChar"/>
        </w:rPr>
        <w:t xml:space="preserve">unverified</w:t>
      </w:r>
      <w:r>
        <w:t xml:space="preserve">，只引用12663.40亿元原始金额。</w:t>
      </w:r>
    </w:p>
    <w:p>
      <w:pPr>
        <w:numPr>
          <w:ilvl w:val="0"/>
          <w:numId w:val="1014"/>
        </w:numPr>
        <w:pStyle w:val="Compact"/>
      </w:pPr>
      <w:r>
        <w:t xml:space="preserve">🔴 未核验：正式资金流入/流出TOP10、板块涨跌TOP10、板块成交额、活跃股榜、结构化涨跌停样本、核心个股三源校验。</w:t>
      </w:r>
    </w:p>
    <w:p>
      <w:pPr>
        <w:numPr>
          <w:ilvl w:val="0"/>
          <w:numId w:val="1014"/>
        </w:numPr>
        <w:pStyle w:val="Compact"/>
      </w:pPr>
      <w:r>
        <w:t xml:space="preserve">📊 仓位模型：激进60%、稳健45%、保守30%，置信度normal；资金榜恢复前不把单一华泰文本线索升级为满置信度主线。</w:t>
      </w:r>
    </w:p>
    <w:p>
      <w:pPr>
        <w:numPr>
          <w:ilvl w:val="0"/>
          <w:numId w:val="1014"/>
        </w:numPr>
        <w:pStyle w:val="Compact"/>
      </w:pPr>
      <w:r>
        <w:t xml:space="preserve">💡 午后优先核验顺序：正式资金流榜 → 农业/化肥与传媒板块量价 → 科技内部冲突 → 农业银行实时行情。</w:t>
      </w:r>
    </w:p>
    <w:p>
      <w:r>
        <w:pict>
          <v:rect style="width:0;height:1.5pt" o:hralign="center" o:hrstd="t" o:hr="t"/>
        </w:pict>
      </w:r>
    </w:p>
    <w:p>
      <w:pPr>
        <w:pStyle w:val="BlockText"/>
      </w:pPr>
      <w:r>
        <w:t xml:space="preserve">📊 生成时间：2026-09-08 11:48（北京时间，Asia/Shanghai）</w:t>
      </w:r>
      <w:r>
        <w:t xml:space="preserve"> </w:t>
      </w:r>
      <w:r>
        <w:t xml:space="preserve">🔮 by：先知 v1.0.3 — 周先生出品</w:t>
      </w:r>
      <w:r>
        <w:t xml:space="preserve"> </w:t>
      </w:r>
      <w:r>
        <w:t xml:space="preserve">🔵 数据采集模型：local-python</w:t>
      </w:r>
      <w:r>
        <w:t xml:space="preserve"> </w:t>
      </w:r>
      <w:r>
        <w:t xml:space="preserve">🔴 分析+写稿模型：hermes</w:t>
      </w:r>
      <w:r>
        <w:t xml:space="preserve"> </w:t>
      </w:r>
      <w:r>
        <w:t xml:space="preserve">📄 文档生成：pandoc (markdown → docx)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2c1ae401"/>
    <w:multiLevelType w:val="multilevel"/>
    <w:lvl w:ilvl="0">
      <w:numFmt w:val="bullet"/>
      <w:lvlText w:val=" "/>
      <w:lvlJc w:val="left"/>
      <w:pPr>
        <w:tabs>
          <w:tab w:val="num" w:pos="0"/>
        </w:tabs>
        <w:ind w:left="480" w:hanging="480"/>
      </w:pPr>
    </w:lvl>
    <w:lvl w:ilvl="1">
      <w:numFmt w:val="bullet"/>
      <w:lvlText w:val=" 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 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 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 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 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 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 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 "/>
      <w:lvlJc w:val="left"/>
      <w:pPr>
        <w:tabs>
          <w:tab w:val="num" w:pos="5760"/>
        </w:tabs>
        <w:ind w:left="6240" w:hanging="480"/>
      </w:pPr>
    </w:lvl>
  </w:abstractNum>
  <w:abstractNum w:abstractNumId="991">
    <w:nsid w:val="ea454b4c"/>
    <w:multiLevelType w:val="multilevel"/>
    <w:lvl w:ilvl="0">
      <w:numFmt w:val="bullet"/>
      <w:lvlText w:val="•"/>
      <w:lvlJc w:val="left"/>
      <w:pPr>
        <w:tabs>
          <w:tab w:val="num" w:pos="0"/>
        </w:tabs>
        <w:ind w:left="480" w:hanging="480"/>
      </w:pPr>
    </w:lvl>
    <w:lvl w:ilvl="1">
      <w:numFmt w:val="bullet"/>
      <w:lvlText w:val="–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•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–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•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–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•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–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•"/>
      <w:lvlJc w:val="left"/>
      <w:pPr>
        <w:tabs>
          <w:tab w:val="num" w:pos="5760"/>
        </w:tabs>
        <w:ind w:left="624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stylePaneFormatFilter w:val="0004"/>
  <w:footnotePr>
    <w:footnote w:id="-1"/>
    <w:footnote w:id="0"/>
  </w:footnotePr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  <w:rsidRoot w:val="00590D07"/>
    <w:rsid w:val="00011C8B"/>
    <w:rsid w:val="004E29B3"/>
    <w:rsid w:val="00590D07"/>
    <w:rsid w:val="00784D58"/>
    <w:rsid w:val="008D6863"/>
    <w:rsid w:val="00B86B75"/>
    <w:rsid w:val="00BC48D5"/>
    <w:rsid w:val="00C36279"/>
    <w:rsid w:val="00E315A3"/>
  </w:rsids>
  <m:mathPr>
    <m:mathFont m:val="Lucida Grande"/>
    <m:brkBin m:val="before"/>
    <m:brkBinSub m:val="--"/>
    <m:smallFrac m:val="false"/>
    <m:dispDef m:val="false"/>
    <m:lMargin m:val="0"/>
    <m:rMargin m:val="0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:proofState w:spelling="clean" w:grammar="clean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276"/>
  <w:style w:type="paragraph" w:default="1" w:styleId="Normal">
    <w:name w:val="Normal"/>
    <w:qFormat/>
  </w:style>
  <w:style w:type="paragraph" w:styleId="BodyText">
    <w:name w:val="Body Text"/>
    <w:basedOn w:val="Normal"/>
    <w:link w:val="BodyTextChar"/>
    <w:pPr>
      <w:spacing w:before="180" w:after="180"/>
    </w:pPr>
    <w:qFormat/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qFormat/>
    <w:pPr>
      <w:keepNext/>
      <w:keepLines/>
      <w:spacing w:before="480" w:after="240"/>
      <w:jc w:val="center"/>
    </w:pPr>
    <w:rPr>
      <w:rFonts w:asciiTheme="majorHAnsi" w:eastAsiaTheme="majorEastAsia" w:hAnsiTheme="majorHAnsi" w:cstheme="majorBidi"/>
      <w:b/>
      <w:bCs/>
      <w:color w:val="345A8A" w:themeColor="accent1" w:themeShade="B5"/>
      <w:sz w:val="36"/>
      <w:szCs w:val="36"/>
    </w:rPr>
  </w:style>
  <w:style w:type="paragraph" w:styleId="Subtitle">
    <w:name w:val="Subtitle"/>
    <w:basedOn w:val="Title"/>
    <w:next w:val="BodyText"/>
    <w:qFormat/>
    <w:pPr>
      <w:keepNext/>
      <w:keepLines/>
      <w:spacing w:before="240" w:after="240"/>
      <w:jc w:val="center"/>
    </w:pPr>
    <w:rPr>
      <w:sz w:val="30"/>
      <w:szCs w:val="30"/>
    </w:rPr>
  </w:style>
  <w:style w:type="paragraph" w:customStyle="1" w:styleId="Author">
    <w:name w:val="Author"/>
    <w:next w:val="BodyText"/>
    <w:qFormat/>
    <w:pPr>
      <w:keepNext/>
      <w:keepLines/>
      <w:jc w:val="center"/>
    </w:pPr>
  </w:style>
  <w:style w:type="paragraph" w:styleId="Date">
    <w:name w:val="Date"/>
    <w:next w:val="BodyText"/>
    <w:qFormat/>
    <w:pPr>
      <w:keepNext/>
      <w:keepLines/>
      <w:jc w:val="center"/>
    </w:pPr>
  </w:style>
  <w:style w:type="paragraph" w:customStyle="1" w:styleId="Abstract">
    <w:name w:val="Abstract"/>
    <w:basedOn w:val="Normal"/>
    <w:next w:val="BodyText"/>
    <w:qFormat/>
    <w:pPr>
      <w:keepNext/>
      <w:keepLines/>
      <w:spacing w:before="300" w:after="300"/>
    </w:pPr>
    <w:rPr>
      <w:sz w:val="20"/>
      <w:szCs w:val="20"/>
    </w:rPr>
  </w:style>
  <w:style w:type="paragraph" w:styleId="Bibliography">
    <w:name w:val="Bibliography"/>
    <w:basedOn w:val="Normal"/>
    <w:next w:val="Bibliography"/>
    <w:qFormat/>
    <w:pPr/>
    <w:rPr/>
  </w:style>
  <w:style w:type="paragraph" w:styleId="Heading1">
    <w:name w:val="Heading 1"/>
    <w:basedOn w:val="Normal"/>
    <w:next w:val="BodyText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4F81BD" w:themeColor="accent1"/>
      <w:sz w:val="32"/>
      <w:szCs w:val="32"/>
    </w:rPr>
  </w:style>
  <w:style w:type="paragraph" w:styleId="Heading2">
    <w:name w:val="Heading 2"/>
    <w:basedOn w:val="Normal"/>
    <w:next w:val="BodyText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8"/>
      <w:szCs w:val="28"/>
    </w:rPr>
  </w:style>
  <w:style w:type="paragraph" w:styleId="Heading3">
    <w:name w:val="Heading 3"/>
    <w:basedOn w:val="Normal"/>
    <w:next w:val="BodyText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styleId="Heading4">
    <w:name w:val="Heading 4"/>
    <w:basedOn w:val="Normal"/>
    <w:next w:val="BodyText"/>
    <w:uiPriority w:val="9"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i/>
      <w:bCs/>
      <w:color w:val="4F81BD" w:themeColor="accent1"/>
      <w:sz w:val="24"/>
      <w:szCs w:val="24"/>
    </w:rPr>
  </w:style>
  <w:style w:type="paragraph" w:styleId="Heading5">
    <w:name w:val="Heading 5"/>
    <w:basedOn w:val="Normal"/>
    <w:next w:val="BodyText"/>
    <w:uiPriority w:val="9"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iCs/>
      <w:color w:val="4F81BD" w:themeColor="accent1"/>
      <w:sz w:val="24"/>
      <w:szCs w:val="24"/>
    </w:rPr>
  </w:style>
  <w:style w:type="paragraph" w:styleId="Heading6">
    <w:name w:val="Heading 6"/>
    <w:basedOn w:val="Normal"/>
    <w:next w:val="BodyText"/>
    <w:uiPriority w:val="9"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Heading7">
    <w:name w:val="Heading 7"/>
    <w:basedOn w:val="Normal"/>
    <w:next w:val="BodyText"/>
    <w:uiPriority w:val="9"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Heading8">
    <w:name w:val="Heading 8"/>
    <w:basedOn w:val="Normal"/>
    <w:next w:val="BodyText"/>
    <w:uiPriority w:val="9"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Heading9">
    <w:name w:val="Heading 9"/>
    <w:basedOn w:val="Normal"/>
    <w:next w:val="BodyText"/>
    <w:uiPriority w:val="9"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firstLine="0" w:left="480" w:right="480"/>
    </w:pPr>
  </w:style>
  <w:style w:type="paragraph" w:styleId="FootnoteText">
    <w:name w:val="Footnote Text"/>
    <w:basedOn w:val="Normal"/>
    <w:next w:val="FootnoteText"/>
    <w:uiPriority w:val="9"/>
    <w:unhideWhenUsed/>
    <w:qFormat/>
  </w:style>
  <w:style w:type="character" w:default="1" w:styleId="DefaultParagraphFont">
    <w:name w:val="Default Paragraph Font"/>
    <w:semiHidden/>
    <w:unhideWhenUsed/>
  </w:style>
  <w:style w:type="table" w:default="1" w:styleId="Table">
    <w:name w:val="Table"/>
    <w:basedOn w:val="TableNormal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BodyTextChar"/>
    <w:pPr>
      <w:spacing w:before="0"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BodyTextChar">
    <w:name w:val="Body Text Char"/>
    <w:basedOn w:val="DefaultParagraphFont"/>
    <w:link w:val="BodyText"/>
  </w:style>
  <w:style w:type="character" w:customStyle="1" w:styleId="VerbatimChar">
    <w:name w:val="Verbatim Char"/>
    <w:basedOn w:val="BodyTextChar"/>
    <w:rPr>
      <w:rFonts w:ascii="Consolas" w:hAnsi="Consolas"/>
      <w:sz w:val="22"/>
    </w:rPr>
  </w:style>
  <w:style w:type="character" w:styleId="FootnoteReference">
    <w:name w:val="Footnote Reference"/>
    <w:basedOn w:val="BodyTextChar"/>
    <w:rPr>
      <w:vertAlign w:val="superscript"/>
    </w:rPr>
  </w:style>
  <w:style w:type="character" w:styleId="Hyperlink">
    <w:name w:val="Hyperlink"/>
    <w:basedOn w:val="BodyTextChar"/>
    <w:rPr>
      <w:color w:val="4F81BD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
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
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2026-09-08T03:52:00Z</dcterms:created>
  <dcterms:modified xsi:type="dcterms:W3CDTF">2026-09-08T03:52:00Z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