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08周二"/>
      <w:r>
        <w:t xml:space="preserve">🕑 全天复盘 | 2026-09-08（周二）</w:t>
      </w:r>
      <w:bookmarkEnd w:id="20"/>
    </w:p>
    <w:p>
      <w:pPr>
        <w:pStyle w:val="BlockText"/>
      </w:pPr>
      <w:r>
        <w:t xml:space="preserve">数据基准：指数与自选股行情截至15:15前后，涨跌分布截至15:15:01。顶层关键源覆盖3/7；指数获新浪、东方财富、腾讯三源交叉验证，市场广度与全市场成交额为同花顺单源。东方财富资金流、板块排行、活跃股、涨跌停明细及核心个股交叉校验均因HTTP 502失败，相关榜单严格降级为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全天行情概览"/>
      <w:r>
        <w:t xml:space="preserve">📊 全天行情概览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📈 上证指数报3940.5509点，上涨0.1997%；📉深证成指报13703.208点，下跌0.5206%；📉创业板指报3359.716点，下跌1.1465%。三项均获新浪、东方财富、腾讯交叉验证。</w:t>
      </w:r>
    </w:p>
    <w:p>
      <w:pPr>
        <w:numPr>
          <w:ilvl w:val="0"/>
          <w:numId w:val="1001"/>
        </w:numPr>
        <w:pStyle w:val="Compact"/>
      </w:pPr>
      <w:r>
        <w:t xml:space="preserve">📉 科创50报1590.9954点，下跌1.5187%；沪深300报4558.7371点，下跌0.3560%。主板相对抗跌，成长指数明显承压，呈</w:t>
      </w:r>
      <w:r>
        <w:t xml:space="preserve">“</w:t>
      </w:r>
      <w:r>
        <w:t xml:space="preserve">沪强深弱、价值强于成长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💰 同花顺单源显示全市场成交额19782.20亿元，昨日原始金额19642.35亿元；由于</w:t>
      </w:r>
      <w:r>
        <w:rPr>
          <w:rStyle w:val="VerbatimChar"/>
        </w:rPr>
        <w:t xml:space="preserve">turnover_comparison_scope=unverified</w:t>
      </w:r>
      <w:r>
        <w:t xml:space="preserve">，不引用139.84亿元变化，也不计算变化百分比。</w:t>
      </w:r>
    </w:p>
    <w:p>
      <w:pPr>
        <w:numPr>
          <w:ilvl w:val="0"/>
          <w:numId w:val="1001"/>
        </w:numPr>
        <w:pStyle w:val="Compact"/>
      </w:pPr>
      <w:r>
        <w:t xml:space="preserve">📈 同花顺单源显示上涨3417家、下跌2026家、平盘106家、停牌9家，涨停75家、跌停1家。上涨家数占优，但指数分化表明赚钱效应集中于非权重或局部题材。</w:t>
      </w:r>
    </w:p>
    <w:p>
      <w:pPr>
        <w:numPr>
          <w:ilvl w:val="0"/>
          <w:numId w:val="1001"/>
        </w:numPr>
        <w:pStyle w:val="Compact"/>
      </w:pPr>
      <w:r>
        <w:t xml:space="preserve">💰 沪深300ETF净申购方向：采集JSON未提供可核验数据，不能判断净申购或净赎回；本报告不以北向资金替代该指标。</w:t>
      </w:r>
    </w:p>
    <w:p>
      <w:pPr>
        <w:numPr>
          <w:ilvl w:val="0"/>
          <w:numId w:val="1001"/>
        </w:numPr>
        <w:pStyle w:val="Compact"/>
      </w:pPr>
      <w:r>
        <w:t xml:space="preserve">🎭 一句话特征：个股广度偏暖、双创指数走弱，农业/化肥、油气与资源品仅获华泰补充线索，正式资金榜和板块榜缺失，属于</w:t>
      </w:r>
      <w:r>
        <w:t xml:space="preserve">“</w:t>
      </w:r>
      <w:r>
        <w:t xml:space="preserve">局部活跃、成长退潮、主线置信度受限</w:t>
      </w:r>
      <w:r>
        <w:t xml:space="preserve">”</w:t>
      </w:r>
      <w:r>
        <w:t xml:space="preserve">的结构行情。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-vs-下午对比"/>
      <w:r>
        <w:t xml:space="preserve">⏰ 上午 vs 下午对比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📈→📈 上证指数由午间3946.9889点、上涨0.3634%，回落至3940.5509点、上涨0.1997%；下午下行6.4380点，涨幅收窄0.1637个百分点，3951.3221点日内高点未能突破并站稳。</w:t>
      </w:r>
    </w:p>
    <w:p>
      <w:pPr>
        <w:numPr>
          <w:ilvl w:val="0"/>
          <w:numId w:val="1002"/>
        </w:numPr>
        <w:pStyle w:val="Compact"/>
      </w:pPr>
      <w:r>
        <w:t xml:space="preserve">📈→📉 深证成指由上涨0.0518%转为下跌0.5206%，下午下行78.8380点；沪深300由上涨0.0629%转为下跌0.3560%，下午下行19.1651点。</w:t>
      </w:r>
    </w:p>
    <w:p>
      <w:pPr>
        <w:numPr>
          <w:ilvl w:val="0"/>
          <w:numId w:val="1002"/>
        </w:numPr>
        <w:pStyle w:val="Compact"/>
      </w:pPr>
      <w:r>
        <w:t xml:space="preserve">📉→📉 创业板指跌幅由0.1524%扩大至1.1465%，下午下行33.7850点；科创50跌幅由0.4211%扩大至1.5187%，下午下行17.7325点。科技成长午后抛压显著增强。</w:t>
      </w:r>
    </w:p>
    <w:p>
      <w:pPr>
        <w:numPr>
          <w:ilvl w:val="0"/>
          <w:numId w:val="1002"/>
        </w:numPr>
        <w:pStyle w:val="Compact"/>
      </w:pPr>
      <w:r>
        <w:t xml:space="preserve">📊 市场广度从午间上涨3463家、下跌1948家，变为收盘上涨3417家、下跌2026家；上涨家数减少46家、下跌家数增加78家。涨停由72家增至75家、跌停由0家增至1家，说明题材前排仍有强化，但尾部风险同步增加。</w:t>
      </w:r>
    </w:p>
    <w:p>
      <w:pPr>
        <w:numPr>
          <w:ilvl w:val="0"/>
          <w:numId w:val="1002"/>
        </w:numPr>
        <w:pStyle w:val="Compact"/>
      </w:pPr>
      <w:r>
        <w:t xml:space="preserve">💰 午间累计成交额12663.40亿元，收盘累计19782.20亿元；两者均为同花顺单源。因比较口径未核验，只用于描述日内成交累积，不作同比放量结论。</w:t>
      </w:r>
    </w:p>
    <w:p>
      <w:pPr>
        <w:numPr>
          <w:ilvl w:val="0"/>
          <w:numId w:val="1002"/>
        </w:numPr>
        <w:pStyle w:val="Compact"/>
      </w:pPr>
      <w:r>
        <w:t xml:space="preserve">✅ 午盘观点得到验证：沪指未能站稳3951点，成长指数继续走弱，</w:t>
      </w:r>
      <w:r>
        <w:t xml:space="preserve">“</w:t>
      </w:r>
      <w:r>
        <w:t xml:space="preserve">不全面加仓、科技只观察</w:t>
      </w:r>
      <w:r>
        <w:t xml:space="preserve">”</w:t>
      </w:r>
      <w:r>
        <w:t xml:space="preserve">的谨慎预案有效。</w:t>
      </w:r>
    </w:p>
    <w:p>
      <w:pPr>
        <w:numPr>
          <w:ilvl w:val="0"/>
          <w:numId w:val="1002"/>
        </w:numPr>
        <w:pStyle w:val="Compact"/>
      </w:pPr>
      <w:r>
        <w:t xml:space="preserve">⚠️ 无法核验的部分：正式资金流、板块涨跌及活跃股源全天持续失败，因此不能确认下午资金具体从科技流向农业、化肥、油气或铜；华泰文本只能说明方向线索，不能替代资金迁徙事实。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龙头股"/>
      <w:r>
        <w:t xml:space="preserve">🔥 领涨板块 TOP10 &amp; 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⚠️ 正式领涨板块TOP10：未核验。</w:t>
      </w:r>
      <w:r>
        <w:rPr>
          <w:rStyle w:val="VerbatimChar"/>
        </w:rPr>
        <w:t xml:space="preserve">sources.sector_performance.ok=false</w:t>
      </w:r>
      <w:r>
        <w:t xml:space="preserve">，采集JSON没有真实板块涨幅榜，禁止把华泰文本列举顺序冒充TOP10。</w:t>
      </w:r>
    </w:p>
    <w:p>
      <w:pPr>
        <w:numPr>
          <w:ilvl w:val="0"/>
          <w:numId w:val="1003"/>
        </w:numPr>
        <w:pStyle w:val="Compact"/>
      </w:pPr>
      <w:r>
        <w:t xml:space="preserve">📌 华泰收盘补充线索：农业、化肥、油气、铜概念表现活跃；其中亚盛集团被描述为4连板、敦煌种业8天5板，中曼石油涨停、通源石油涨超8%，精艺股份涨停、北方铜业触及涨停。以上为华泰单一文本源，未获本地结构化板块榜和涨停样本交叉验证。</w:t>
      </w:r>
    </w:p>
    <w:p>
      <w:pPr>
        <w:numPr>
          <w:ilvl w:val="0"/>
          <w:numId w:val="1003"/>
        </w:numPr>
        <w:pStyle w:val="Compact"/>
      </w:pPr>
      <w:r>
        <w:t xml:space="preserve">📊 正式TOP20龙头股：未核验。</w:t>
      </w:r>
      <w:r>
        <w:rPr>
          <w:rStyle w:val="VerbatimChar"/>
        </w:rPr>
        <w:t xml:space="preserve">active_stocks</w:t>
      </w:r>
      <w:r>
        <w:t xml:space="preserve">与</w:t>
      </w:r>
      <w:r>
        <w:rPr>
          <w:rStyle w:val="VerbatimChar"/>
        </w:rPr>
        <w:t xml:space="preserve">limit_stocks</w:t>
      </w:r>
      <w:r>
        <w:t xml:space="preserve">均失败，不能虚构20只排行、成交额、封单或换手数据。</w:t>
      </w:r>
    </w:p>
    <w:p>
      <w:pPr>
        <w:pStyle w:val="Heading3"/>
      </w:pPr>
      <w:bookmarkStart w:id="24" w:name="可用高辨识度样本非正式top20"/>
      <w:r>
        <w:t xml:space="preserve">🚀 可用高辨识度样本（非正式TOP20）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中粮糖业（600737）：18.16元、上涨9.99%、华泰筛选显示主力净流入3.87亿元；农业/糖业方向，涨幅与资金样本共振，但缺少三源行情校验。</w:t>
      </w:r>
    </w:p>
    <w:p>
      <w:pPr>
        <w:numPr>
          <w:ilvl w:val="0"/>
          <w:numId w:val="1004"/>
        </w:numPr>
        <w:pStyle w:val="Compact"/>
      </w:pPr>
      <w:r>
        <w:t xml:space="preserve">海南橡胶（601118）：7.87元、上涨9.31%、净流入3.46亿元；农业资源方向，趋势样本偏强，明日不宜竞价追高。</w:t>
      </w:r>
    </w:p>
    <w:p>
      <w:pPr>
        <w:numPr>
          <w:ilvl w:val="0"/>
          <w:numId w:val="1004"/>
        </w:numPr>
        <w:pStyle w:val="Compact"/>
      </w:pPr>
      <w:r>
        <w:t xml:space="preserve">金牛化工（600722）：19.77元、上涨10.02%、净流入3.17亿元；化工/化肥关联线索偏强，需观察高开兑现。</w:t>
      </w:r>
    </w:p>
    <w:p>
      <w:pPr>
        <w:numPr>
          <w:ilvl w:val="0"/>
          <w:numId w:val="1004"/>
        </w:numPr>
        <w:pStyle w:val="Compact"/>
      </w:pPr>
      <w:r>
        <w:t xml:space="preserve">我爱我家（000560）：3.44元、上涨9.90%、净流入2.72亿元；房地产服务方向，与农业/资源主线不共振，更多是独立题材。</w:t>
      </w:r>
    </w:p>
    <w:p>
      <w:pPr>
        <w:numPr>
          <w:ilvl w:val="0"/>
          <w:numId w:val="1004"/>
        </w:numPr>
        <w:pStyle w:val="Compact"/>
      </w:pPr>
      <w:r>
        <w:t xml:space="preserve">宝丰能源（600989）：24.39元、上涨4.19%、净流入2.23亿元；煤化工/能源化工方向，可作为资源线承接观察。</w:t>
      </w:r>
    </w:p>
    <w:p>
      <w:pPr>
        <w:numPr>
          <w:ilvl w:val="0"/>
          <w:numId w:val="1004"/>
        </w:numPr>
        <w:pStyle w:val="Compact"/>
      </w:pPr>
      <w:r>
        <w:t xml:space="preserve">精华制药（002349）：8.42元、上涨10.07%、净流入2.16亿元；医药方向独立走强，板块扩散未核验。</w:t>
      </w:r>
    </w:p>
    <w:p>
      <w:pPr>
        <w:numPr>
          <w:ilvl w:val="0"/>
          <w:numId w:val="1004"/>
        </w:numPr>
        <w:pStyle w:val="Compact"/>
      </w:pPr>
      <w:r>
        <w:t xml:space="preserve">香江控股（600162）：5.50元、上涨10.00%、净流入2.06亿元；地产方向高弹性样本，持续性需板块验证。</w:t>
      </w:r>
    </w:p>
    <w:p>
      <w:pPr>
        <w:numPr>
          <w:ilvl w:val="0"/>
          <w:numId w:val="1004"/>
        </w:numPr>
        <w:pStyle w:val="Compact"/>
      </w:pPr>
      <w:r>
        <w:t xml:space="preserve">新华网（603888）：17.72元、上涨5.79%、净流入1.98亿元；传媒方向有资金样本，适合与风语筑联动观察。</w:t>
      </w:r>
    </w:p>
    <w:p>
      <w:pPr>
        <w:numPr>
          <w:ilvl w:val="0"/>
          <w:numId w:val="1004"/>
        </w:numPr>
        <w:pStyle w:val="Compact"/>
      </w:pPr>
      <w:r>
        <w:t xml:space="preserve">中钢国际（000928）：5.96元、上涨9.96%、净流入1.98亿元；工程服务方向偏强，但基建板块整体表现未核验。</w:t>
      </w:r>
    </w:p>
    <w:p>
      <w:pPr>
        <w:numPr>
          <w:ilvl w:val="0"/>
          <w:numId w:val="1004"/>
        </w:numPr>
        <w:pStyle w:val="Compact"/>
      </w:pPr>
      <w:r>
        <w:t xml:space="preserve">东信和平（002017）：17.12元、上涨4.71%、净流入1.86亿元；通信/数字安全方向局部活跃，不能据此判断科技整体企稳。</w:t>
      </w:r>
    </w:p>
    <w:p>
      <w:pPr>
        <w:pStyle w:val="BlockText"/>
      </w:pPr>
      <w:r>
        <w:t xml:space="preserve">⚠️ 上述10只是华泰</w:t>
      </w:r>
      <w:r>
        <w:t xml:space="preserve">“</w:t>
      </w:r>
      <w:r>
        <w:t xml:space="preserve">主力净流入为正、上涨趋势、涨幅排名前10%且净流入排名前10</w:t>
      </w:r>
      <w:r>
        <w:t xml:space="preserve">”</w:t>
      </w:r>
      <w:r>
        <w:t xml:space="preserve">筛选结果，不是全市场成交额或涨幅TOP10，也不是正式资金流入TOP10。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资金流向与流出预警"/>
      <w:r>
        <w:t xml:space="preserve">💰 资金流向与流出预警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💰 主力净流入TOP10：未核验。</w:t>
      </w:r>
      <w:r>
        <w:rPr>
          <w:rStyle w:val="VerbatimChar"/>
        </w:rPr>
        <w:t xml:space="preserve">sources.money_flow.ok=false</w:t>
      </w:r>
      <w:r>
        <w:t xml:space="preserve">，HTTP 502，采集JSON不存在可用的正式TOP10榜单及金额。</w:t>
      </w:r>
    </w:p>
    <w:p>
      <w:pPr>
        <w:numPr>
          <w:ilvl w:val="0"/>
          <w:numId w:val="1005"/>
        </w:numPr>
        <w:pStyle w:val="Compact"/>
      </w:pPr>
      <w:r>
        <w:t xml:space="preserve">⚠️ 主力净流出TOP10：未核验。同一来源失败，不能用弱势板块文本补造流出排名或金额。</w:t>
      </w:r>
    </w:p>
    <w:p>
      <w:pPr>
        <w:numPr>
          <w:ilvl w:val="0"/>
          <w:numId w:val="1005"/>
        </w:numPr>
        <w:pStyle w:val="Compact"/>
      </w:pPr>
      <w:r>
        <w:t xml:space="preserve">📉 华泰文本提示半导体、液冷、消费电子等科技成长方向承压，但没有正式净流出金额；只能视为风险线索，不能写成</w:t>
      </w:r>
      <w:r>
        <w:t xml:space="preserve">“</w:t>
      </w:r>
      <w:r>
        <w:t xml:space="preserve">资金流出TOP10</w:t>
      </w:r>
      <w:r>
        <w:t xml:space="preserve">”</w:t>
      </w:r>
      <w:r>
        <w:t xml:space="preserve">事实。</w:t>
      </w:r>
    </w:p>
    <w:p>
      <w:pPr>
        <w:numPr>
          <w:ilvl w:val="0"/>
          <w:numId w:val="1005"/>
        </w:numPr>
        <w:pStyle w:val="Compact"/>
      </w:pPr>
      <w:r>
        <w:t xml:space="preserve">📌 华泰筛选提供的10只净流入样本金额可单独使用，但其筛选口径与全市场TOP10不同，不能替代缺失榜单。</w:t>
      </w:r>
    </w:p>
    <w:p>
      <w:pPr>
        <w:numPr>
          <w:ilvl w:val="0"/>
          <w:numId w:val="1005"/>
        </w:numPr>
        <w:pStyle w:val="Compact"/>
      </w:pPr>
      <w:r>
        <w:t xml:space="preserve">🚫 明日若资金流源仍未恢复，不依据单一涨停、单只个股上涨或华泰文字叙述追认主线；至少等待板块指数、核心股和成交活跃度同步确认。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领跌板块-top5-风险信号"/>
      <w:r>
        <w:t xml:space="preserve">🔴 领跌板块 TOP5 &amp; 风险信号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🔴 正式领跌板块TOP5：未核验。</w:t>
      </w:r>
      <w:r>
        <w:rPr>
          <w:rStyle w:val="VerbatimChar"/>
        </w:rPr>
        <w:t xml:space="preserve">sector_performance</w:t>
      </w:r>
      <w:r>
        <w:t xml:space="preserve">失败，无法列出真实跌幅排行。</w:t>
      </w:r>
    </w:p>
    <w:p>
      <w:pPr>
        <w:numPr>
          <w:ilvl w:val="0"/>
          <w:numId w:val="1006"/>
        </w:numPr>
        <w:pStyle w:val="Compact"/>
      </w:pPr>
      <w:r>
        <w:t xml:space="preserve">📉 可确认的指数风险：创业板指下跌1.1465%、科创50下跌1.5187%，且午后跌幅分别扩大0.9941和1.0976个百分点，成长端是当日最明确的弱势区域。</w:t>
      </w:r>
    </w:p>
    <w:p>
      <w:pPr>
        <w:numPr>
          <w:ilvl w:val="0"/>
          <w:numId w:val="1006"/>
        </w:numPr>
        <w:pStyle w:val="Compact"/>
      </w:pPr>
      <w:r>
        <w:t xml:space="preserve">⚠️ 华泰补充线索称科技股回调，算力、光通信、CPO等前期强势方向进入休整；该判断与双创指数走弱方向一致，但具体板块跌幅、净流出和个股扩散均未获结构化验证。</w:t>
      </w:r>
    </w:p>
    <w:p>
      <w:pPr>
        <w:numPr>
          <w:ilvl w:val="0"/>
          <w:numId w:val="1006"/>
        </w:numPr>
        <w:pStyle w:val="Compact"/>
      </w:pPr>
      <w:r>
        <w:t xml:space="preserve">📉 题材尾部风险：跌停家数由午间0家增至收盘1家，虽然绝对数量低，但在75家涨停并存的环境中体现出分化加大。</w:t>
      </w:r>
    </w:p>
    <w:p>
      <w:pPr>
        <w:numPr>
          <w:ilvl w:val="0"/>
          <w:numId w:val="1006"/>
        </w:numPr>
        <w:pStyle w:val="Compact"/>
      </w:pPr>
      <w:r>
        <w:t xml:space="preserve">🚫 风险处置：科技反抽若不能带动创业板和科创50收复前收，按弱修复而非新一轮主升处理；高位农业、化肥、资源股若批量开板，则优先兑现而非补仓。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市场情绪综合判断"/>
      <w:r>
        <w:t xml:space="preserve">🎭 市场情绪综合判断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📊 赚钱效应：上涨3417家、下跌2026家，广度偏正；75家涨停、1家跌停，短线活跃度尚可。该组数据为同花顺单源，正常使用但需标注来源。</w:t>
      </w:r>
    </w:p>
    <w:p>
      <w:pPr>
        <w:numPr>
          <w:ilvl w:val="0"/>
          <w:numId w:val="1007"/>
        </w:numPr>
        <w:pStyle w:val="Compact"/>
      </w:pPr>
      <w:r>
        <w:t xml:space="preserve">📉 指数分歧：上证上涨0.1997%，创业板与科创50分别下跌1.1465%和1.5187%，说明赚钱效应并未传导至成长权重。</w:t>
      </w:r>
    </w:p>
    <w:p>
      <w:pPr>
        <w:numPr>
          <w:ilvl w:val="0"/>
          <w:numId w:val="1007"/>
        </w:numPr>
        <w:pStyle w:val="Compact"/>
      </w:pPr>
      <w:r>
        <w:t xml:space="preserve">🎭 市场风格：采用顶层</w:t>
      </w:r>
      <w:r>
        <w:rPr>
          <w:rStyle w:val="VerbatimChar"/>
        </w:rPr>
        <w:t xml:space="preserve">derived.market_style=震荡/均衡</w:t>
      </w:r>
      <w:r>
        <w:t xml:space="preserve">；细化为价值与低位题材相对占优、科技成长承压。</w:t>
      </w:r>
    </w:p>
    <w:p>
      <w:pPr>
        <w:numPr>
          <w:ilvl w:val="0"/>
          <w:numId w:val="1007"/>
        </w:numPr>
        <w:pStyle w:val="Compact"/>
      </w:pPr>
      <w:r>
        <w:t xml:space="preserve">🔥 情绪周期：定义为</w:t>
      </w:r>
      <w:r>
        <w:t xml:space="preserve">“</w:t>
      </w:r>
      <w:r>
        <w:t xml:space="preserve">正常偏分化</w:t>
      </w:r>
      <w:r>
        <w:t xml:space="preserve">”</w:t>
      </w:r>
      <w:r>
        <w:t xml:space="preserve">，不是全面回暖，也未到普遍退潮。涨停数量增加支持前排情绪，下午上涨家数减少及双创走弱限制风险偏好。</w:t>
      </w:r>
    </w:p>
    <w:p>
      <w:pPr>
        <w:numPr>
          <w:ilvl w:val="0"/>
          <w:numId w:val="1007"/>
        </w:numPr>
        <w:pStyle w:val="Compact"/>
      </w:pPr>
      <w:r>
        <w:t xml:space="preserve">💰 量能：仅确认19782.20亿元原始成交额；比较口径为</w:t>
      </w:r>
      <w:r>
        <w:rPr>
          <w:rStyle w:val="VerbatimChar"/>
        </w:rPr>
        <w:t xml:space="preserve">unverified</w:t>
      </w:r>
      <w:r>
        <w:t xml:space="preserve">，不能据此宣称放量或缩量。</w:t>
      </w:r>
    </w:p>
    <w:p>
      <w:pPr>
        <w:numPr>
          <w:ilvl w:val="0"/>
          <w:numId w:val="1007"/>
        </w:numPr>
        <w:pStyle w:val="Compact"/>
      </w:pPr>
      <w:r>
        <w:t xml:space="preserve">⚠️ 置信度约束：关键源覆盖率42.86%，资金流、板块榜、活跃股和涨停明细缺失，任何</w:t>
      </w:r>
      <w:r>
        <w:t xml:space="preserve">“</w:t>
      </w:r>
      <w:r>
        <w:t xml:space="preserve">农业/油气已成为全市场确定主线</w:t>
      </w:r>
      <w:r>
        <w:t xml:space="preserve">”</w:t>
      </w:r>
      <w:r>
        <w:t xml:space="preserve">的表述都应降级为华泰单源线索。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华泰自选股观察"/>
      <w:r>
        <w:t xml:space="preserve">🧾 华泰自选股观察</w:t>
      </w:r>
      <w:bookmarkEnd w:id="28"/>
    </w:p>
    <w:p>
      <w:pPr>
        <w:pStyle w:val="FirstParagraph"/>
      </w:pPr>
      <w:r>
        <w:t xml:space="preserve">自选股3只全部取得华泰模拟盘收盘报价，均为单源；新浪/东方财富/腾讯个股交叉校验失败。风语筑与传媒方向局部共振，工商银行承担防御属性，弘元绿能所属光伏未获当日主线证据。整体以跟踪为主，暂不作为统一主攻方向。</w:t>
      </w:r>
    </w:p>
    <w:p>
      <w:pPr>
        <w:numPr>
          <w:ilvl w:val="0"/>
          <w:numId w:val="1008"/>
        </w:numPr>
        <w:pStyle w:val="Compact"/>
      </w:pPr>
      <w:r>
        <w:t xml:space="preserve">📉 603185 弘元绿能：最新14.97元、下跌1.25%，前收15.16元。所属光伏硅片/新能源制造，与华泰所述农业、化肥、油气、铜线索无明显共振。判断：偏弱、继续观察，反弹不追；仅在光伏板块放量转强且个股重新站稳15.16元后，才可低吸跟踪。</w:t>
      </w:r>
    </w:p>
    <w:p>
      <w:pPr>
        <w:numPr>
          <w:ilvl w:val="0"/>
          <w:numId w:val="1008"/>
        </w:numPr>
        <w:pStyle w:val="Compact"/>
      </w:pPr>
      <w:r>
        <w:t xml:space="preserve">📈 603466 风语筑：最新12.62元、上涨3.53%，前收12.19元；较午间12.67元略有回落。所属数字文化、沉浸式体验/AI应用，与传媒方向局部共振，但正式板块榜和资金流未核验。判断：相对偏强但不追高；明日守住12.19元且传媒继续扩散，可低吸跟踪，跌回前收下方则共振失效。</w:t>
      </w:r>
    </w:p>
    <w:p>
      <w:pPr>
        <w:numPr>
          <w:ilvl w:val="0"/>
          <w:numId w:val="1008"/>
        </w:numPr>
        <w:pStyle w:val="Compact"/>
      </w:pPr>
      <w:r>
        <w:t xml:space="preserve">📉 601398 工商银行：最新7.94元、下跌0.38%，前收7.97元；较午间7.92元有所修复。所属国有大行，与当日进攻线不共振，但可作为组合防御。判断：继续观察、偏防守；重新站回7.97元才算短线转强，若放量跌破当日低位区域则保护利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用户实盘持仓收盘策略"/>
      <w:r>
        <w:t xml:space="preserve">💼 用户实盘持仓收盘策略</w:t>
      </w:r>
      <w:bookmarkEnd w:id="29"/>
    </w:p>
    <w:p>
      <w:pPr>
        <w:pStyle w:val="BlockText"/>
      </w:pPr>
      <w:r>
        <w:t xml:space="preserve">弘元绿能、风语筑、工商银行行情均来自华泰单源；农业银行收盘价、涨跌幅、量价和公告未核验。以下不虚构均线、支撑阻力或公告结论，也不以回本价作为唯一决策依据。</w:t>
      </w:r>
    </w:p>
    <w:p>
      <w:pPr>
        <w:pStyle w:val="Heading3"/>
      </w:pPr>
      <w:bookmarkStart w:id="30" w:name="弘元绿能603185-300股成本26.6669元"/>
      <w:r>
        <w:t xml:space="preserve">📉 弘元绿能（603185）— 300股，成本26.6669元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📊 按14.97元计算，市值4491.00元，浮亏3509.07元，收益率-43.86%。当日下跌1.25%，且光伏未与当日线索主线共振。</w:t>
      </w:r>
    </w:p>
    <w:p>
      <w:pPr>
        <w:numPr>
          <w:ilvl w:val="0"/>
          <w:numId w:val="1009"/>
        </w:numPr>
        <w:pStyle w:val="Compact"/>
      </w:pPr>
      <w:r>
        <w:t xml:space="preserve">💡 明日动作：反弹减仓观察，不做无条件摊薄。若反弹仍不能收复15.16元，或光伏板块无量价共振，可分批降低暴露。</w:t>
      </w:r>
    </w:p>
    <w:p>
      <w:pPr>
        <w:numPr>
          <w:ilvl w:val="0"/>
          <w:numId w:val="1009"/>
        </w:numPr>
        <w:pStyle w:val="Compact"/>
      </w:pPr>
      <w:r>
        <w:t xml:space="preserve">🚫 减仓/离场触发：持续低于15.16元且弱于光伏板块；或个股放量走弱、出现已核验的基本面负面公告。</w:t>
      </w:r>
    </w:p>
    <w:p>
      <w:pPr>
        <w:numPr>
          <w:ilvl w:val="0"/>
          <w:numId w:val="1009"/>
        </w:numPr>
        <w:pStyle w:val="Compact"/>
      </w:pPr>
      <w:r>
        <w:t xml:space="preserve">✅ 条件加仓：仅在光伏板块资金恢复可见并转为净流入、个股放量站稳15.16元后回踩不破时，小比例试仓。</w:t>
      </w:r>
    </w:p>
    <w:p>
      <w:pPr>
        <w:numPr>
          <w:ilvl w:val="0"/>
          <w:numId w:val="1009"/>
        </w:numPr>
        <w:pStyle w:val="Compact"/>
      </w:pPr>
      <w:r>
        <w:t xml:space="preserve">⚠️ 风险：深度浮亏、行业产能周期、弱势反弹再回落；这是组合中最该减仓观察的标的。</w:t>
      </w:r>
    </w:p>
    <w:p>
      <w:pPr>
        <w:pStyle w:val="Heading3"/>
      </w:pPr>
      <w:bookmarkStart w:id="31" w:name="风语筑603466-700股成本13.2159元"/>
      <w:r>
        <w:t xml:space="preserve">📈 风语筑（603466）— 700股，成本13.2159元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📊 按12.62元计算，市值8834.00元，浮亏417.13元，收益率-4.51%；当日上涨3.53%，是三只已报价持仓中相对最强。</w:t>
      </w:r>
    </w:p>
    <w:p>
      <w:pPr>
        <w:numPr>
          <w:ilvl w:val="0"/>
          <w:numId w:val="1010"/>
        </w:numPr>
        <w:pStyle w:val="Compact"/>
      </w:pPr>
      <w:r>
        <w:t xml:space="preserve">💡 明日动作：持有观察，不追补；关注12.19元前收能否继续形成承接，以及传媒方向是否由局部强势扩散。</w:t>
      </w:r>
    </w:p>
    <w:p>
      <w:pPr>
        <w:numPr>
          <w:ilvl w:val="0"/>
          <w:numId w:val="1010"/>
        </w:numPr>
        <w:pStyle w:val="Compact"/>
      </w:pPr>
      <w:r>
        <w:t xml:space="preserve">🚫 减仓/离场触发：跌回12.19元下方且不能快速收复，或传媒核心样本批量转弱。</w:t>
      </w:r>
    </w:p>
    <w:p>
      <w:pPr>
        <w:numPr>
          <w:ilvl w:val="0"/>
          <w:numId w:val="1010"/>
        </w:numPr>
        <w:pStyle w:val="Compact"/>
      </w:pPr>
      <w:r>
        <w:t xml:space="preserve">✅ 条件加仓：板块正式资金流恢复并确认净流入、个股守住12.19元且放量突破当日高位后，再考虑小仓加回。</w:t>
      </w:r>
    </w:p>
    <w:p>
      <w:pPr>
        <w:numPr>
          <w:ilvl w:val="0"/>
          <w:numId w:val="1010"/>
        </w:numPr>
        <w:pStyle w:val="Compact"/>
      </w:pPr>
      <w:r>
        <w:t xml:space="preserve">⚠️ 风险：题材情绪兑现、板块数据缺失、单源报价未交叉验证。</w:t>
      </w:r>
    </w:p>
    <w:p>
      <w:pPr>
        <w:pStyle w:val="Heading3"/>
      </w:pPr>
      <w:bookmarkStart w:id="32" w:name="工商银行601398-1900股成本7.0601元"/>
      <w:r>
        <w:t xml:space="preserve">📈 工商银行（601398）— 1900股，成本7.0601元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📊 按7.94元计算，市值15086.00元，浮盈1671.81元，收益率12.46%；当日下跌0.38%，防御属性仍在但短线未转强。</w:t>
      </w:r>
    </w:p>
    <w:p>
      <w:pPr>
        <w:numPr>
          <w:ilvl w:val="0"/>
          <w:numId w:val="1011"/>
        </w:numPr>
        <w:pStyle w:val="Compact"/>
      </w:pPr>
      <w:r>
        <w:t xml:space="preserve">💡 明日动作：持有为主并保护利润，是已核验持仓中最稳健的底仓；不在银行集中度已经较高时盲目加仓。</w:t>
      </w:r>
    </w:p>
    <w:p>
      <w:pPr>
        <w:numPr>
          <w:ilvl w:val="0"/>
          <w:numId w:val="1011"/>
        </w:numPr>
        <w:pStyle w:val="Compact"/>
      </w:pPr>
      <w:r>
        <w:t xml:space="preserve">🚫 减仓/离场触发：持续低于7.97元且银行板块、沪深300同步走弱；出现放量下跌时可先减部分。</w:t>
      </w:r>
    </w:p>
    <w:p>
      <w:pPr>
        <w:numPr>
          <w:ilvl w:val="0"/>
          <w:numId w:val="1011"/>
        </w:numPr>
        <w:pStyle w:val="Compact"/>
      </w:pPr>
      <w:r>
        <w:t xml:space="preserve">✅ 条件加仓：重新站稳7.97元、银行板块同步转强、农业银行行情补齐后确认组合集中度可控，才考虑小幅增加。</w:t>
      </w:r>
    </w:p>
    <w:p>
      <w:pPr>
        <w:numPr>
          <w:ilvl w:val="0"/>
          <w:numId w:val="1011"/>
        </w:numPr>
        <w:pStyle w:val="Compact"/>
      </w:pPr>
      <w:r>
        <w:t xml:space="preserve">⚠️ 风险：净息差压力、利率变化、防御资金兑现及银行持仓集中。</w:t>
      </w:r>
    </w:p>
    <w:p>
      <w:pPr>
        <w:pStyle w:val="Heading3"/>
      </w:pPr>
      <w:bookmarkStart w:id="33" w:name="农业银行601288-5300股成本6.4244元"/>
      <w:r>
        <w:t xml:space="preserve">⚠️ 农业银行（601288）— 5300股，成本6.4244元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📊 收盘价、涨跌幅与当前盈亏未核验，不能计算收益率；也不能凭成本价推导当日操作价位。</w:t>
      </w:r>
    </w:p>
    <w:p>
      <w:pPr>
        <w:numPr>
          <w:ilvl w:val="0"/>
          <w:numId w:val="1012"/>
        </w:numPr>
        <w:pStyle w:val="Compact"/>
      </w:pPr>
      <w:r>
        <w:t xml:space="preserve">💡 明日动作：持有观察，先补齐实时行情、量价与公告；与工商银行同属国有大行，新增仓位前必须评估合计集中度。</w:t>
      </w:r>
    </w:p>
    <w:p>
      <w:pPr>
        <w:numPr>
          <w:ilvl w:val="0"/>
          <w:numId w:val="1012"/>
        </w:numPr>
        <w:pStyle w:val="Compact"/>
      </w:pPr>
      <w:r>
        <w:t xml:space="preserve">🚫 减仓/离场触发：行情核验后确认跌破最近有效平台并放量，且银行板块与沪深300同步走弱。</w:t>
      </w:r>
    </w:p>
    <w:p>
      <w:pPr>
        <w:numPr>
          <w:ilvl w:val="0"/>
          <w:numId w:val="1012"/>
        </w:numPr>
        <w:pStyle w:val="Compact"/>
      </w:pPr>
      <w:r>
        <w:t xml:space="preserve">✅ 条件加仓：仅在报价与公告均核验、银行板块企稳、个股突破有效平台并回踩不破时执行；禁止因接近成本价而补仓。</w:t>
      </w:r>
    </w:p>
    <w:p>
      <w:pPr>
        <w:numPr>
          <w:ilvl w:val="0"/>
          <w:numId w:val="1012"/>
        </w:numPr>
        <w:pStyle w:val="Compact"/>
      </w:pPr>
      <w:r>
        <w:t xml:space="preserve">⚠️ 风险：行情缺失、银行集中度、净息差及政策利率变化；数据补齐前不执行加仓。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明日投资方向排序"/>
      <w:r>
        <w:t xml:space="preserve">🎯 明日投资方向排序</w:t>
      </w:r>
      <w:bookmarkEnd w:id="34"/>
    </w:p>
    <w:p>
      <w:pPr>
        <w:pStyle w:val="Heading3"/>
      </w:pPr>
      <w:bookmarkStart w:id="35" w:name="方向一农业种植糖业橡胶化肥农资优先级高观察不追高"/>
      <w:r>
        <w:t xml:space="preserve">🌾 方向一：农业种植—糖业/橡胶/化肥农资（优先级：高观察，不追高）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📌 证据链：① 华泰收盘文本把农业、化肥列为全天主线线索；② 中粮糖业上涨9.99%、净流入3.87亿元，海南橡胶上涨9.31%、净流入3.46亿元，金牛化工上涨10.02%、净流入3.17亿元；③ 同花顺单源显示75家涨停、3417家上涨，具备题材扩散环境。正式板块涨幅、成交额与资金TOP10仍未核验。</w:t>
      </w:r>
    </w:p>
    <w:p>
      <w:pPr>
        <w:numPr>
          <w:ilvl w:val="0"/>
          <w:numId w:val="1013"/>
        </w:numPr>
        <w:pStyle w:val="Compact"/>
      </w:pPr>
      <w:r>
        <w:t xml:space="preserve">🔥 核心标的：中粮糖业（糖业资金强度样本）、海南橡胶（农业资源趋势样本）、金牛化工（化肥/化工高弹性样本）；亚盛集团、敦煌种业仅作高位情绪锚。</w:t>
      </w:r>
    </w:p>
    <w:p>
      <w:pPr>
        <w:numPr>
          <w:ilvl w:val="0"/>
          <w:numId w:val="1013"/>
        </w:numPr>
        <w:pStyle w:val="Compact"/>
      </w:pPr>
      <w:r>
        <w:t xml:space="preserve">💡 参与策略：激进型仓位上限60%，只做分歧回踩后的核心承接；稳健型上限45%，等待板块资金和成交确认；保守型上限30%，不参与高位连板。</w:t>
      </w:r>
    </w:p>
    <w:p>
      <w:pPr>
        <w:numPr>
          <w:ilvl w:val="0"/>
          <w:numId w:val="1013"/>
        </w:numPr>
        <w:pStyle w:val="Compact"/>
      </w:pPr>
      <w:r>
        <w:t xml:space="preserve">✅ 触发条件：板块开盘不出现批量兑现，核心股回踩承接有效，正式资金源恢复后显示净流入延续。</w:t>
      </w:r>
    </w:p>
    <w:p>
      <w:pPr>
        <w:numPr>
          <w:ilvl w:val="0"/>
          <w:numId w:val="1013"/>
        </w:numPr>
        <w:pStyle w:val="Compact"/>
      </w:pPr>
      <w:r>
        <w:t xml:space="preserve">🚫 失效条件：核心样本高开低走、农业与化肥同步转弱，或资金源恢复后显示净流出。</w:t>
      </w:r>
    </w:p>
    <w:p>
      <w:pPr>
        <w:numPr>
          <w:ilvl w:val="0"/>
          <w:numId w:val="1013"/>
        </w:numPr>
        <w:pStyle w:val="Compact"/>
      </w:pPr>
      <w:r>
        <w:t xml:space="preserve">⚠️ 风险：华泰单源线索、短线涨幅较大、连板兑现和催化叙事未获结构化新闻核验。</w:t>
      </w:r>
    </w:p>
    <w:p>
      <w:pPr>
        <w:pStyle w:val="Heading3"/>
      </w:pPr>
      <w:bookmarkStart w:id="36" w:name="方向二油气开采油服铜资源优先级中"/>
      <w:r>
        <w:t xml:space="preserve">🛢️ 方向二：油气开采—油服/铜资源（优先级：中）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📌 证据链：① 华泰收盘文本称油气与铜概念走强；② 文本样本显示中曼石油涨停、通源石油涨超8%，精艺股份涨停、北方铜业触及涨停；③ 宝丰能源上涨4.19%、净流入2.23亿元，为能源化工承接样本。具体板块涨幅、成交额和正式净流入未核验。</w:t>
      </w:r>
    </w:p>
    <w:p>
      <w:pPr>
        <w:numPr>
          <w:ilvl w:val="0"/>
          <w:numId w:val="1014"/>
        </w:numPr>
        <w:pStyle w:val="Compact"/>
      </w:pPr>
      <w:r>
        <w:t xml:space="preserve">🔥 核心标的：中曼石油（油气情绪锚）、通源石油（油服弹性样本）、精艺股份与北方铜业（铜方向情绪样本）、宝丰能源（能源化工资金样本）。除宝丰能源外，具体价格与金额未交叉验证。</w:t>
      </w:r>
    </w:p>
    <w:p>
      <w:pPr>
        <w:numPr>
          <w:ilvl w:val="0"/>
          <w:numId w:val="1014"/>
        </w:numPr>
        <w:pStyle w:val="Compact"/>
      </w:pPr>
      <w:r>
        <w:t xml:space="preserve">💡 参与策略：激进型只在商品价格与板块盘口继续共振时小仓参与；稳健型等待首轮分歧；保守型只观察资源品持续性。</w:t>
      </w:r>
    </w:p>
    <w:p>
      <w:pPr>
        <w:numPr>
          <w:ilvl w:val="0"/>
          <w:numId w:val="1014"/>
        </w:numPr>
        <w:pStyle w:val="Compact"/>
      </w:pPr>
      <w:r>
        <w:t xml:space="preserve">✅ 触发条件：油气或铜板块至少一个方向放量，核心股不炸板，正式资金流恢复后确认净流入。</w:t>
      </w:r>
    </w:p>
    <w:p>
      <w:pPr>
        <w:numPr>
          <w:ilvl w:val="0"/>
          <w:numId w:val="1014"/>
        </w:numPr>
        <w:pStyle w:val="Compact"/>
      </w:pPr>
      <w:r>
        <w:t xml:space="preserve">🚫 失效条件：商品端回落、核心股开板不能回封、板块高开低走或主力转净流出。</w:t>
      </w:r>
    </w:p>
    <w:p>
      <w:pPr>
        <w:numPr>
          <w:ilvl w:val="0"/>
          <w:numId w:val="1014"/>
        </w:numPr>
        <w:pStyle w:val="Compact"/>
      </w:pPr>
      <w:r>
        <w:t xml:space="preserve">⚠️ 风险：事件驱动反转、商品价格波动、高开兑现及单源文本误差。</w:t>
      </w:r>
    </w:p>
    <w:p>
      <w:pPr>
        <w:pStyle w:val="Heading3"/>
      </w:pPr>
      <w:bookmarkStart w:id="37" w:name="方向三文化传媒数字内容沉浸式体验优先级观察"/>
      <w:r>
        <w:t xml:space="preserve">🎬 方向三：文化传媒—数字内容/沉浸式体验（优先级：观察）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📌 证据链：① 午盘华泰文本曾显示出版传媒涨停梯队；② 收盘华泰筛选中新华网17.72元、上涨5.79%、净流入1.98亿元；③ 自选股风语筑12.62元、上涨3.53%，与数字文化方向局部共振。收盘正式板块榜、板块成交额和资金流仍缺失，因此只能列观察方向。</w:t>
      </w:r>
    </w:p>
    <w:p>
      <w:pPr>
        <w:numPr>
          <w:ilvl w:val="0"/>
          <w:numId w:val="1015"/>
        </w:numPr>
        <w:pStyle w:val="Compact"/>
      </w:pPr>
      <w:r>
        <w:t xml:space="preserve">🔥 核心标的：新华网（传媒资金样本）、风语筑（自选股与数字文化观察）、中国出版（午盘连板情绪锚，收盘状态未核验）。</w:t>
      </w:r>
    </w:p>
    <w:p>
      <w:pPr>
        <w:numPr>
          <w:ilvl w:val="0"/>
          <w:numId w:val="1015"/>
        </w:numPr>
        <w:pStyle w:val="Compact"/>
      </w:pPr>
      <w:r>
        <w:t xml:space="preserve">💡 参与策略：激进型也只做小仓回踩；稳健型等待新华网与风语筑同步转强；保守型继续跟踪，不追涨停梯队。</w:t>
      </w:r>
    </w:p>
    <w:p>
      <w:pPr>
        <w:numPr>
          <w:ilvl w:val="0"/>
          <w:numId w:val="1015"/>
        </w:numPr>
        <w:pStyle w:val="Compact"/>
      </w:pPr>
      <w:r>
        <w:t xml:space="preserve">✅ 触发条件：风语筑守住12.19元、新华网维持强势，传媒板块正式资金和成交恢复后共同确认。</w:t>
      </w:r>
    </w:p>
    <w:p>
      <w:pPr>
        <w:numPr>
          <w:ilvl w:val="0"/>
          <w:numId w:val="1015"/>
        </w:numPr>
        <w:pStyle w:val="Compact"/>
      </w:pPr>
      <w:r>
        <w:t xml:space="preserve">🚫 失效条件：风语筑跌回12.19元下方、新华网冲高回落，或传媒梯队批量转弱。</w:t>
      </w:r>
    </w:p>
    <w:p>
      <w:pPr>
        <w:numPr>
          <w:ilvl w:val="0"/>
          <w:numId w:val="1015"/>
        </w:numPr>
        <w:pStyle w:val="Compact"/>
      </w:pPr>
      <w:r>
        <w:t xml:space="preserve">⚠️ 风险：题材持续性依赖情绪、前排加速压缩后排空间、板块证据不足。</w:t>
      </w:r>
    </w:p>
    <w:p>
      <w:pPr>
        <w:pStyle w:val="Heading3"/>
      </w:pPr>
      <w:bookmarkStart w:id="38" w:name="方向四ai算力半导体液冷优先级回避追高仅观察修复"/>
      <w:r>
        <w:t xml:space="preserve">🤖 方向四：AI算力—半导体/液冷（优先级：回避追高、仅观察修复）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📌 证据链：① 创业板指下跌1.1465%、科创50下跌1.5187%；② 两指数午后跌幅分别扩大0.9941和1.0976个百分点；③ 华泰文本提示算力、光通信、CPO及半导体等方向休整。正式净流出金额和板块跌幅未核验。</w:t>
      </w:r>
    </w:p>
    <w:p>
      <w:pPr>
        <w:numPr>
          <w:ilvl w:val="0"/>
          <w:numId w:val="1016"/>
        </w:numPr>
        <w:pStyle w:val="Compact"/>
      </w:pPr>
      <w:r>
        <w:t xml:space="preserve">🔥 核心标的：本轮缺少可三源校验的科技成交核心；仅以东信和平17.12元、上涨4.71%、净流入1.86亿元作为局部数字安全样本，不外推科技整体。</w:t>
      </w:r>
    </w:p>
    <w:p>
      <w:pPr>
        <w:numPr>
          <w:ilvl w:val="0"/>
          <w:numId w:val="1016"/>
        </w:numPr>
        <w:pStyle w:val="Compact"/>
      </w:pPr>
      <w:r>
        <w:t xml:space="preserve">💡 参与策略：激进型不抢首个反抽；稳健型等双创指数企稳；保守型继续回避高波动科技。</w:t>
      </w:r>
    </w:p>
    <w:p>
      <w:pPr>
        <w:numPr>
          <w:ilvl w:val="0"/>
          <w:numId w:val="1016"/>
        </w:numPr>
        <w:pStyle w:val="Compact"/>
      </w:pPr>
      <w:r>
        <w:t xml:space="preserve">✅ 触发条件：创业板和科创50同步收复前收，科技核心出现放量承接，资金流恢复后不再净流出。</w:t>
      </w:r>
    </w:p>
    <w:p>
      <w:pPr>
        <w:numPr>
          <w:ilvl w:val="0"/>
          <w:numId w:val="1016"/>
        </w:numPr>
        <w:pStyle w:val="Compact"/>
      </w:pPr>
      <w:r>
        <w:t xml:space="preserve">🚫 失效条件：双创继续创新低、核心股冲高回落、科技正式资金继续流出。</w:t>
      </w:r>
    </w:p>
    <w:p>
      <w:pPr>
        <w:numPr>
          <w:ilvl w:val="0"/>
          <w:numId w:val="1016"/>
        </w:numPr>
        <w:pStyle w:val="Compact"/>
      </w:pPr>
      <w:r>
        <w:t xml:space="preserve">⚠️ 风险：前期强势后的获利兑现、高估值波动和指数共振下跌。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明日展望"/>
      <w:r>
        <w:t xml:space="preserve">🎯 明日展望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📊 市场判断：维持</w:t>
      </w:r>
      <w:r>
        <w:rPr>
          <w:rStyle w:val="VerbatimChar"/>
        </w:rPr>
        <w:t xml:space="preserve">震荡/均衡</w:t>
      </w:r>
      <w:r>
        <w:t xml:space="preserve">，但对成长方向偏谨慎。广度不差，说明不宜全面看空；双创午后走弱，说明不宜提高科技仓位。</w:t>
      </w:r>
    </w:p>
    <w:p>
      <w:pPr>
        <w:numPr>
          <w:ilvl w:val="0"/>
          <w:numId w:val="1017"/>
        </w:numPr>
        <w:pStyle w:val="Compact"/>
      </w:pPr>
      <w:r>
        <w:t xml:space="preserve">💡 激进型：仓位上限60%。只做农业/化肥或资源方向分歧后的核心承接，单一方向不满仓；未见资金流恢复时向50%以内收缩。</w:t>
      </w:r>
    </w:p>
    <w:p>
      <w:pPr>
        <w:numPr>
          <w:ilvl w:val="0"/>
          <w:numId w:val="1017"/>
        </w:numPr>
        <w:pStyle w:val="Compact"/>
      </w:pPr>
      <w:r>
        <w:t xml:space="preserve">💡 稳健型：仓位上限45%。以工商银行等已有防御仓为底，风语筑只在传媒共振延续时持有，弘元绿能反弹优先降风险。</w:t>
      </w:r>
    </w:p>
    <w:p>
      <w:pPr>
        <w:numPr>
          <w:ilvl w:val="0"/>
          <w:numId w:val="1017"/>
        </w:numPr>
        <w:pStyle w:val="Compact"/>
      </w:pPr>
      <w:r>
        <w:t xml:space="preserve">💡 保守型：仓位上限30%。等待正式资金流与板块榜恢复，重点观察双创指数能否止跌，不参与高位连板接力。</w:t>
      </w:r>
    </w:p>
    <w:p>
      <w:pPr>
        <w:numPr>
          <w:ilvl w:val="0"/>
          <w:numId w:val="1017"/>
        </w:numPr>
        <w:pStyle w:val="Compact"/>
      </w:pPr>
      <w:r>
        <w:t xml:space="preserve">✅ 加仓总触发：指数止跌、目标板块放量、核心股承接、正式主力净流入四项至少三项同时成立。</w:t>
      </w:r>
    </w:p>
    <w:p>
      <w:pPr>
        <w:numPr>
          <w:ilvl w:val="0"/>
          <w:numId w:val="1017"/>
        </w:numPr>
        <w:pStyle w:val="Compact"/>
      </w:pPr>
      <w:r>
        <w:t xml:space="preserve">🚫 降仓总触发：沪指失守3925.7198点当日低点、创业板与科创50继续同步走弱、热点批量炸板或资金流恢复后主线转净流出。</w:t>
      </w:r>
    </w:p>
    <w:p>
      <w:pPr>
        <w:numPr>
          <w:ilvl w:val="0"/>
          <w:numId w:val="1017"/>
        </w:numPr>
        <w:pStyle w:val="Compact"/>
      </w:pPr>
      <w:r>
        <w:t xml:space="preserve">⚠️ 主要风险：数据源缺失导致主线误判，农业/资源高位兑现，科技调整扩散，商品事件反转，以及银行持仓集中度偏高。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数据质量说明"/>
      <w:r>
        <w:t xml:space="preserve">⚠️ 数据质量说明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✅ 指数：新浪、东方财富、腾讯三源交叉验证通过，无显著差异。</w:t>
      </w:r>
    </w:p>
    <w:p>
      <w:pPr>
        <w:numPr>
          <w:ilvl w:val="0"/>
          <w:numId w:val="1018"/>
        </w:numPr>
        <w:pStyle w:val="Compact"/>
      </w:pPr>
      <w:r>
        <w:t xml:space="preserve">🟡 市场广度：同花顺单源可用；上涨3417家、下跌2026家、平盘106家、涨停75家、跌停1家。</w:t>
      </w:r>
    </w:p>
    <w:p>
      <w:pPr>
        <w:numPr>
          <w:ilvl w:val="0"/>
          <w:numId w:val="1018"/>
        </w:numPr>
        <w:pStyle w:val="Compact"/>
      </w:pPr>
      <w:r>
        <w:t xml:space="preserve">🟡 成交额：同花顺单源可用，原始金额19782.20亿元；比较口径</w:t>
      </w:r>
      <w:r>
        <w:rPr>
          <w:rStyle w:val="VerbatimChar"/>
        </w:rPr>
        <w:t xml:space="preserve">unverified</w:t>
      </w:r>
      <w:r>
        <w:t xml:space="preserve">，不使用变化百分比。</w:t>
      </w:r>
    </w:p>
    <w:p>
      <w:pPr>
        <w:numPr>
          <w:ilvl w:val="0"/>
          <w:numId w:val="1018"/>
        </w:numPr>
        <w:pStyle w:val="Compact"/>
      </w:pPr>
      <w:r>
        <w:t xml:space="preserve">🔴 未核验：正式资金流入TOP10、资金流出TOP10、领涨板块TOP10、领跌板块TOP5、TOP20活跃股、涨跌停明细、沪深300ETF净申购、核心个股三源校验及农业银行行情。</w:t>
      </w:r>
    </w:p>
    <w:p>
      <w:pPr>
        <w:numPr>
          <w:ilvl w:val="0"/>
          <w:numId w:val="1018"/>
        </w:numPr>
        <w:pStyle w:val="Compact"/>
      </w:pPr>
      <w:r>
        <w:t xml:space="preserve">📊 顶层关键源覆盖3/7，覆盖率42.86%；仓位模型为激进60%、均衡45%、保守30%，置信度</w:t>
      </w:r>
      <w:r>
        <w:rPr>
          <w:rStyle w:val="VerbatimChar"/>
        </w:rPr>
        <w:t xml:space="preserve">normal</w:t>
      </w:r>
      <w:r>
        <w:t xml:space="preserve">。</w:t>
      </w:r>
    </w:p>
    <w:p>
      <w:pPr>
        <w:numPr>
          <w:ilvl w:val="0"/>
          <w:numId w:val="1018"/>
        </w:numPr>
        <w:pStyle w:val="Compact"/>
      </w:pPr>
      <w:r>
        <w:t xml:space="preserve">💡 华泰数据作为补充单源使用；凡与新浪/东方财富/腾讯结构化数据无法交叉验证的板块或个股结论，均已明确降级。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生成时间：2026-09-08 15:18（北京时间，Asia/Shanghai）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2026-09-08T07:24:29Z</dcterms:created>
  <dcterms:modified xsi:type="dcterms:W3CDTF">2026-09-08T07:24:29Z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