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盘前简报-2026-09-04周五"/>
      <w:r>
        <w:t xml:space="preserve">🌅 盘前简报 | 2026-09-04（周五）</w:t>
      </w:r>
      <w:bookmarkEnd w:id="20"/>
    </w:p>
    <w:p>
      <w:pPr>
        <w:pStyle w:val="BlockText"/>
      </w:pPr>
      <w:r>
        <w:t xml:space="preserve">数据基准：A股行情截至 2026-09-03 收盘；外盘与商品截至 2026-09-04 08:30 前后。关键数据源覆盖率为 3/7（42.86%）。资金流、板块表现、活跃个股、涨跌停样本、公告和核心个股多源校验缺失，相关结论均按</w:t>
      </w:r>
      <w:r>
        <w:t xml:space="preserve">“</w:t>
      </w:r>
      <w:r>
        <w:t xml:space="preserve">未核验/条件式预案</w:t>
      </w:r>
      <w:r>
        <w:t xml:space="preserve">”</w:t>
      </w:r>
      <w:r>
        <w:t xml:space="preserve">降级。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隔夜全球市场"/>
      <w:r>
        <w:t xml:space="preserve">🌐 隔夜全球市场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📈 富时中国 A50 期指报 14613.99，涨 0.41%，对 A 股开盘情绪形成温和正向映射。</w:t>
      </w:r>
    </w:p>
    <w:p>
      <w:pPr>
        <w:numPr>
          <w:ilvl w:val="0"/>
          <w:numId w:val="1001"/>
        </w:numPr>
        <w:pStyle w:val="Compact"/>
      </w:pPr>
      <w:r>
        <w:t xml:space="preserve">📉 恒生指数 9 月 3 日收于 25311.209，跌 0.39%；这是前一交易日收盘数据，不代表 9 月 4 日港股早盘。</w:t>
      </w:r>
    </w:p>
    <w:p>
      <w:pPr>
        <w:numPr>
          <w:ilvl w:val="0"/>
          <w:numId w:val="1001"/>
        </w:numPr>
        <w:pStyle w:val="Compact"/>
      </w:pPr>
      <w:r>
        <w:t xml:space="preserve">💱 美元离岸人民币报 6.7181，涨 0.01%；汇率波动有限，暂未显示显著外汇冲击。</w:t>
      </w:r>
    </w:p>
    <w:p>
      <w:pPr>
        <w:numPr>
          <w:ilvl w:val="0"/>
          <w:numId w:val="1001"/>
        </w:numPr>
        <w:pStyle w:val="Compact"/>
      </w:pPr>
      <w:r>
        <w:t xml:space="preserve">📉 COMEX 黄金报 4520.814，跌 0.42%；📈 WTI 原油报 91.53，涨 0.25%；📈 伦铜报 14359.715，涨 0.18%。中东风险对油价形成支撑，但黄金当时并未同步走强。</w:t>
      </w:r>
    </w:p>
    <w:p>
      <w:pPr>
        <w:numPr>
          <w:ilvl w:val="0"/>
          <w:numId w:val="1001"/>
        </w:numPr>
        <w:pStyle w:val="Compact"/>
      </w:pPr>
      <w:r>
        <w:t xml:space="preserve">⚠️ 美股三大指数、重点中概股及欧洲股市的结构化点位和精确涨跌幅未进入采集 JSON。华泰补充文本仅称美股整体走强、纳斯达克中国金龙指数走低，缺少本地结构化交叉验证，故只作情绪线索，不写具体数值。</w:t>
      </w:r>
    </w:p>
    <w:p>
      <w:pPr>
        <w:pStyle w:val="Heading3"/>
      </w:pPr>
      <w:bookmarkStart w:id="22" w:name="外围映射结论"/>
      <w:r>
        <w:t xml:space="preserve">📊 外围映射结论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A50 小幅走强与人民币稳定，有利于 A 股平稳开盘；但恒指前收偏弱、油价上行及中东冲突升级，使</w:t>
      </w:r>
      <w:r>
        <w:t xml:space="preserve">“</w:t>
      </w:r>
      <w:r>
        <w:t xml:space="preserve">高开即追</w:t>
      </w:r>
      <w:r>
        <w:t xml:space="preserve">”</w:t>
      </w:r>
      <w:r>
        <w:t xml:space="preserve">不具备充分依据。</w:t>
      </w:r>
    </w:p>
    <w:p>
      <w:pPr>
        <w:numPr>
          <w:ilvl w:val="0"/>
          <w:numId w:val="1002"/>
        </w:numPr>
        <w:pStyle w:val="Compact"/>
      </w:pPr>
      <w:r>
        <w:t xml:space="preserve">今日更适合等待开盘后量价与板块资金确认，不能仅凭外围情绪提高仓位。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新闻联播政策面"/>
      <w:r>
        <w:t xml:space="preserve">📺 新闻联播政策面</w:t>
      </w:r>
      <w:bookmarkEnd w:id="23"/>
    </w:p>
    <w:p>
      <w:pPr>
        <w:pStyle w:val="Heading3"/>
      </w:pPr>
      <w:bookmarkStart w:id="24" w:name="总体分析"/>
      <w:r>
        <w:t xml:space="preserve">📌 总体分析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🔴 政策主线一是粤港澳协同创新：跨境科研经费、人才、税收和物资流动机制继续优化，偏利好大湾区科研平台、医疗科技、增材制造与科技服务，但需要 A 股板块成交和资金流确认。</w:t>
      </w:r>
    </w:p>
    <w:p>
      <w:pPr>
        <w:numPr>
          <w:ilvl w:val="0"/>
          <w:numId w:val="1003"/>
        </w:numPr>
        <w:pStyle w:val="Compact"/>
      </w:pPr>
      <w:r>
        <w:t xml:space="preserve">🔴 政策主线二是体育产业扩容：到 2030 年体育产业总规模超过 7 万亿元，赛事经济、户外运动、体育消费和场馆运营获得中期政策支撑，力度高于例行表态，但短线持续性仍取决于增量资金。</w:t>
      </w:r>
    </w:p>
    <w:p>
      <w:pPr>
        <w:numPr>
          <w:ilvl w:val="0"/>
          <w:numId w:val="1003"/>
        </w:numPr>
        <w:pStyle w:val="Compact"/>
      </w:pPr>
      <w:r>
        <w:t xml:space="preserve">🟡 产业线索包括动力电池、储能、港口航运、运河经济、铁路基建、文旅融合和养老服务；其中多数为中期映射，缺少昨日板块与资金结构化验证，不宜直接追高。</w:t>
      </w:r>
    </w:p>
    <w:p>
      <w:pPr>
        <w:numPr>
          <w:ilvl w:val="0"/>
          <w:numId w:val="1003"/>
        </w:numPr>
        <w:pStyle w:val="Compact"/>
      </w:pPr>
      <w:r>
        <w:t xml:space="preserve">⚠️ 美伊冲突与霍尔木兹海峡风险是最明确的外部扰动：可能推升油运、油气、军工与避险需求，同时压制航空、化工下游和高耗能运输环节。</w:t>
      </w:r>
    </w:p>
    <w:p>
      <w:pPr>
        <w:numPr>
          <w:ilvl w:val="0"/>
          <w:numId w:val="1003"/>
        </w:numPr>
        <w:pStyle w:val="Compact"/>
      </w:pPr>
      <w:r>
        <w:t xml:space="preserve">⚠️ 台风及强降雨仍影响湖南、江西、广西、福建等地，短期利好排涝、水利、应急装备线索，但需警惕农业、交通、旅游和工业生产受损。</w:t>
      </w:r>
    </w:p>
    <w:p>
      <w:pPr>
        <w:numPr>
          <w:ilvl w:val="0"/>
          <w:numId w:val="1003"/>
        </w:numPr>
        <w:pStyle w:val="Compact"/>
      </w:pPr>
      <w:r>
        <w:t xml:space="preserve">数据核验：央视 2026-09-03 节目目录 15 条，详情成功 15 条，采集时间 2026-09-04 08:30:05+08:00，目录与详情完整。</w:t>
      </w:r>
    </w:p>
    <w:p>
      <w:pPr>
        <w:pStyle w:val="Heading3"/>
      </w:pPr>
      <w:bookmarkStart w:id="25" w:name="逐条新闻解读"/>
      <w:r>
        <w:t xml:space="preserve">📰 逐条新闻解读</w:t>
      </w:r>
      <w:bookmarkEnd w:id="25"/>
    </w:p>
    <w:p>
      <w:pPr>
        <w:pStyle w:val="Heading4"/>
      </w:pPr>
      <w:bookmarkStart w:id="26" w:name="习近平和彭丽媛同埃及总统塞西夫妇共同参观大埃及博物馆"/>
      <w:r>
        <w:t xml:space="preserve">习近平和彭丽媛同埃及总统塞西夫妇共同参观大埃及博物馆</w:t>
      </w:r>
      <w:bookmarkEnd w:id="26"/>
    </w:p>
    <w:p>
      <w:pPr>
        <w:numPr>
          <w:ilvl w:val="0"/>
          <w:numId w:val="1004"/>
        </w:numPr>
        <w:pStyle w:val="Compact"/>
      </w:pPr>
      <w:r>
        <w:t xml:space="preserve">A股影响：中性</w:t>
      </w:r>
    </w:p>
    <w:p>
      <w:pPr>
        <w:numPr>
          <w:ilvl w:val="0"/>
          <w:numId w:val="1004"/>
        </w:numPr>
        <w:pStyle w:val="Compact"/>
      </w:pPr>
      <w:r>
        <w:t xml:space="preserve">相关板块：文旅交流、文化传媒；无明确短线映射</w:t>
      </w:r>
    </w:p>
    <w:p>
      <w:pPr>
        <w:numPr>
          <w:ilvl w:val="0"/>
          <w:numId w:val="1004"/>
        </w:numPr>
        <w:pStyle w:val="Compact"/>
      </w:pPr>
      <w:r>
        <w:t xml:space="preserve">核心解读：内容以文明交流和中埃人文互鉴为主，属于长期文化合作信号，不构成可直接量化的上市公司业绩催化。</w:t>
      </w:r>
    </w:p>
    <w:p>
      <w:pPr>
        <w:numPr>
          <w:ilvl w:val="0"/>
          <w:numId w:val="1004"/>
        </w:numPr>
        <w:pStyle w:val="Compact"/>
      </w:pPr>
      <w:r>
        <w:t xml:space="preserve">验证条件：观察后续是否出现文旅、博物馆数字化或中埃文化项目订单；没有项目落地则维持中性。</w:t>
      </w:r>
    </w:p>
    <w:p>
      <w:pPr>
        <w:pStyle w:val="Heading4"/>
      </w:pPr>
      <w:bookmarkStart w:id="27" w:name="习近平圆满结束对埃及的国事访问"/>
      <w:r>
        <w:t xml:space="preserve">习近平圆满结束对埃及的国事访问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A股影响：中性</w:t>
      </w:r>
    </w:p>
    <w:p>
      <w:pPr>
        <w:numPr>
          <w:ilvl w:val="0"/>
          <w:numId w:val="1005"/>
        </w:numPr>
        <w:pStyle w:val="Compact"/>
      </w:pPr>
      <w:r>
        <w:t xml:space="preserve">相关板块：中埃经贸、</w:t>
      </w:r>
      <w:r>
        <w:t xml:space="preserve">“</w:t>
      </w:r>
      <w:r>
        <w:t xml:space="preserve">一带一路</w:t>
      </w:r>
      <w:r>
        <w:t xml:space="preserve">”</w:t>
      </w:r>
      <w:r>
        <w:t xml:space="preserve">；无直接新增政策细节</w:t>
      </w:r>
    </w:p>
    <w:p>
      <w:pPr>
        <w:numPr>
          <w:ilvl w:val="0"/>
          <w:numId w:val="1005"/>
        </w:numPr>
        <w:pStyle w:val="Compact"/>
      </w:pPr>
      <w:r>
        <w:t xml:space="preserve">核心解读：访问完成本身确认外交进程，但本条未披露新协议、订单或投资金额，不能据此推导个股受益。</w:t>
      </w:r>
    </w:p>
    <w:p>
      <w:pPr>
        <w:numPr>
          <w:ilvl w:val="0"/>
          <w:numId w:val="1005"/>
        </w:numPr>
        <w:pStyle w:val="Compact"/>
      </w:pPr>
      <w:r>
        <w:t xml:space="preserve">验证条件：等待官方发布经贸合作清单、企业合同或融资安排；缺少落地项目则不交易该线索。</w:t>
      </w:r>
    </w:p>
    <w:p>
      <w:pPr>
        <w:pStyle w:val="Heading4"/>
      </w:pPr>
      <w:bookmarkStart w:id="28" w:name="习近平结束出席2026年上海合作组织峰会和对吉尔吉斯斯坦埃及的国事访问回到北京"/>
      <w:r>
        <w:t xml:space="preserve">习近平结束出席2026年上海合作组织峰会和对吉尔吉斯斯坦、埃及的国事访问回到北京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A股影响：中性</w:t>
      </w:r>
    </w:p>
    <w:p>
      <w:pPr>
        <w:numPr>
          <w:ilvl w:val="0"/>
          <w:numId w:val="1006"/>
        </w:numPr>
        <w:pStyle w:val="Compact"/>
      </w:pPr>
      <w:r>
        <w:t xml:space="preserve">相关板块：上合组织合作、</w:t>
      </w:r>
      <w:r>
        <w:t xml:space="preserve">“</w:t>
      </w:r>
      <w:r>
        <w:t xml:space="preserve">一带一路</w:t>
      </w:r>
      <w:r>
        <w:t xml:space="preserve">”</w:t>
      </w:r>
      <w:r>
        <w:t xml:space="preserve">；无直接映射</w:t>
      </w:r>
    </w:p>
    <w:p>
      <w:pPr>
        <w:numPr>
          <w:ilvl w:val="0"/>
          <w:numId w:val="1006"/>
        </w:numPr>
        <w:pStyle w:val="Compact"/>
      </w:pPr>
      <w:r>
        <w:t xml:space="preserve">核心解读：属于行程信息，未新增产业政策或公司层面事实。</w:t>
      </w:r>
    </w:p>
    <w:p>
      <w:pPr>
        <w:numPr>
          <w:ilvl w:val="0"/>
          <w:numId w:val="1006"/>
        </w:numPr>
        <w:pStyle w:val="Compact"/>
      </w:pPr>
      <w:r>
        <w:t xml:space="preserve">验证条件：关注峰会成果后续是否转化为口岸、能源、基建和贸易项目；未落地前仅跟踪。</w:t>
      </w:r>
    </w:p>
    <w:p>
      <w:pPr>
        <w:pStyle w:val="Heading4"/>
      </w:pPr>
      <w:bookmarkStart w:id="29" w:name="Xe0c6fa4365137c029ef491dc4d99b2e71d32e5a"/>
      <w:r>
        <w:t xml:space="preserve">【凝心聚力 真抓实干 奋力实现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良好开局】粤港澳加快协同创新 打造高质量发展动力源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A股影响：偏利好</w:t>
      </w:r>
    </w:p>
    <w:p>
      <w:pPr>
        <w:numPr>
          <w:ilvl w:val="0"/>
          <w:numId w:val="1007"/>
        </w:numPr>
        <w:pStyle w:val="Compact"/>
      </w:pPr>
      <w:r>
        <w:t xml:space="preserve">相关板块：粤港澳大湾区、科研服务、增材制造、微创医疗、跨境金融与物流</w:t>
      </w:r>
    </w:p>
    <w:p>
      <w:pPr>
        <w:numPr>
          <w:ilvl w:val="0"/>
          <w:numId w:val="1007"/>
        </w:numPr>
        <w:pStyle w:val="Compact"/>
      </w:pPr>
      <w:r>
        <w:t xml:space="preserve">核心解读：粤港高校联合资助计划每年共同投入不少于 3000 万元，科研物资进口时效缩短 40% 以上，并明确 2030 年基本建成国际科技创新中心，属于有资金和制度安排的实质政策信号。</w:t>
      </w:r>
    </w:p>
    <w:p>
      <w:pPr>
        <w:numPr>
          <w:ilvl w:val="0"/>
          <w:numId w:val="1007"/>
        </w:numPr>
        <w:pStyle w:val="Compact"/>
      </w:pPr>
      <w:r>
        <w:t xml:space="preserve">验证条件：大湾区科技板块放量、相关项目订单或专项资金继续披露才可提升优先级；若只有题材冲高而无成交承接，视为失效。</w:t>
      </w:r>
    </w:p>
    <w:p>
      <w:pPr>
        <w:pStyle w:val="Heading4"/>
      </w:pPr>
      <w:bookmarkStart w:id="30" w:name="纪念中国人民抗日战争暨世界反法西斯战争胜利81周年座谈会在京举行"/>
      <w:r>
        <w:t xml:space="preserve">纪念中国人民抗日战争暨世界反法西斯战争胜利81周年座谈会在京举行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A股影响：中性</w:t>
      </w:r>
    </w:p>
    <w:p>
      <w:pPr>
        <w:numPr>
          <w:ilvl w:val="0"/>
          <w:numId w:val="1008"/>
        </w:numPr>
        <w:pStyle w:val="Compact"/>
      </w:pPr>
      <w:r>
        <w:t xml:space="preserve">相关板块：爱国主义教育、红色文旅；无直接业绩映射</w:t>
      </w:r>
    </w:p>
    <w:p>
      <w:pPr>
        <w:numPr>
          <w:ilvl w:val="0"/>
          <w:numId w:val="1008"/>
        </w:numPr>
        <w:pStyle w:val="Compact"/>
      </w:pPr>
      <w:r>
        <w:t xml:space="preserve">核心解读：以纪念和教育为主，不应强行映射为军工交易信号。</w:t>
      </w:r>
    </w:p>
    <w:p>
      <w:pPr>
        <w:numPr>
          <w:ilvl w:val="0"/>
          <w:numId w:val="1008"/>
        </w:numPr>
        <w:pStyle w:val="Compact"/>
      </w:pPr>
      <w:r>
        <w:t xml:space="preserve">验证条件：除非后续出现国防采购、军工改革或文旅订单等独立催化，否则维持中性。</w:t>
      </w:r>
    </w:p>
    <w:p>
      <w:pPr>
        <w:pStyle w:val="Heading4"/>
      </w:pPr>
      <w:bookmarkStart w:id="31" w:name="各地举行活动纪念抗战胜利81周年"/>
      <w:r>
        <w:t xml:space="preserve">各地举行活动纪念抗战胜利81周年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A股影响：中性</w:t>
      </w:r>
    </w:p>
    <w:p>
      <w:pPr>
        <w:numPr>
          <w:ilvl w:val="0"/>
          <w:numId w:val="1009"/>
        </w:numPr>
        <w:pStyle w:val="Compact"/>
      </w:pPr>
      <w:r>
        <w:t xml:space="preserve">相关板块：红色文旅、文化场馆；无直接映射</w:t>
      </w:r>
    </w:p>
    <w:p>
      <w:pPr>
        <w:numPr>
          <w:ilvl w:val="0"/>
          <w:numId w:val="1009"/>
        </w:numPr>
        <w:pStyle w:val="Compact"/>
      </w:pPr>
      <w:r>
        <w:t xml:space="preserve">核心解读：活动覆盖多地并强调爱国主义教育，可能带来阶段性文旅关注，但未提供上市公司订单和经营数据。</w:t>
      </w:r>
    </w:p>
    <w:p>
      <w:pPr>
        <w:numPr>
          <w:ilvl w:val="0"/>
          <w:numId w:val="1009"/>
        </w:numPr>
        <w:pStyle w:val="Compact"/>
      </w:pPr>
      <w:r>
        <w:t xml:space="preserve">验证条件：观察景区客流、文旅消费数据和板块资金联动；缺少数据则不作为主攻方向。</w:t>
      </w:r>
    </w:p>
    <w:p>
      <w:pPr>
        <w:pStyle w:val="Heading4"/>
      </w:pPr>
      <w:bookmarkStart w:id="32" w:name="十五五开好局起好步锚定体育强国建设-推动体育高质量发展"/>
      <w:r>
        <w:t xml:space="preserve">【</w:t>
      </w:r>
      <w:r>
        <w:t xml:space="preserve">“</w:t>
      </w:r>
      <w:r>
        <w:t xml:space="preserve">十五五</w:t>
      </w:r>
      <w:r>
        <w:t xml:space="preserve">”</w:t>
      </w:r>
      <w:r>
        <w:t xml:space="preserve">开好局起好步】锚定体育强国建设 推动体育高质量发展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A股影响：利好</w:t>
      </w:r>
    </w:p>
    <w:p>
      <w:pPr>
        <w:numPr>
          <w:ilvl w:val="0"/>
          <w:numId w:val="1010"/>
        </w:numPr>
        <w:pStyle w:val="Compact"/>
      </w:pPr>
      <w:r>
        <w:t xml:space="preserve">相关板块：体育消费、赛事运营、户外运动、体育用品、场馆设施</w:t>
      </w:r>
    </w:p>
    <w:p>
      <w:pPr>
        <w:numPr>
          <w:ilvl w:val="0"/>
          <w:numId w:val="1010"/>
        </w:numPr>
        <w:pStyle w:val="Compact"/>
      </w:pPr>
      <w:r>
        <w:t xml:space="preserve">核心解读：政策提出到 2030 年体育产业总规模超过 7 万亿元，并明确发展赛事经济和高质量户外运动目的地，属于目标清晰的中期产业扩容信号。</w:t>
      </w:r>
    </w:p>
    <w:p>
      <w:pPr>
        <w:numPr>
          <w:ilvl w:val="0"/>
          <w:numId w:val="1010"/>
        </w:numPr>
        <w:pStyle w:val="Compact"/>
      </w:pPr>
      <w:r>
        <w:t xml:space="preserve">验证条件：体育产业链出现板块放量、资金净流入和核心标的强承接方可参与；若高开低走且无后排扩散，则短线失效。</w:t>
      </w:r>
    </w:p>
    <w:p>
      <w:pPr>
        <w:pStyle w:val="Heading4"/>
      </w:pPr>
      <w:bookmarkStart w:id="33" w:name="第三次全国古树名木资源普查全面展开"/>
      <w:r>
        <w:t xml:space="preserve">第三次全国古树名木资源普查全面展开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A股影响：偏利好</w:t>
      </w:r>
    </w:p>
    <w:p>
      <w:pPr>
        <w:numPr>
          <w:ilvl w:val="0"/>
          <w:numId w:val="1011"/>
        </w:numPr>
        <w:pStyle w:val="Compact"/>
      </w:pPr>
      <w:r>
        <w:t xml:space="preserve">相关板块：生态监测、遥感测绘、激光雷达、园林养护</w:t>
      </w:r>
    </w:p>
    <w:p>
      <w:pPr>
        <w:numPr>
          <w:ilvl w:val="0"/>
          <w:numId w:val="1011"/>
        </w:numPr>
        <w:pStyle w:val="Compact"/>
      </w:pPr>
      <w:r>
        <w:t xml:space="preserve">核心解读：普查首次覆盖国家公园、自然保护区和国有林区，并使用卫星影像、激光雷达和无损检测技术，可能带来生态数字化与监测设备需求。</w:t>
      </w:r>
    </w:p>
    <w:p>
      <w:pPr>
        <w:numPr>
          <w:ilvl w:val="0"/>
          <w:numId w:val="1011"/>
        </w:numPr>
        <w:pStyle w:val="Compact"/>
      </w:pPr>
      <w:r>
        <w:t xml:space="preserve">验证条件：需看到政府采购、项目中标和相关板块成交放大；普查题材若无订单兑现，只作观察。</w:t>
      </w:r>
    </w:p>
    <w:p>
      <w:pPr>
        <w:pStyle w:val="Heading4"/>
      </w:pPr>
      <w:bookmarkStart w:id="34" w:name="一线调研青岛骑手从过路人变家里人"/>
      <w:r>
        <w:t xml:space="preserve">【一线调研】青岛骑手：从</w:t>
      </w:r>
      <w:r>
        <w:t xml:space="preserve">“</w:t>
      </w:r>
      <w:r>
        <w:t xml:space="preserve">过路人</w:t>
      </w:r>
      <w:r>
        <w:t xml:space="preserve">”</w:t>
      </w:r>
      <w:r>
        <w:t xml:space="preserve">变</w:t>
      </w:r>
      <w:r>
        <w:t xml:space="preserve">“</w:t>
      </w:r>
      <w:r>
        <w:t xml:space="preserve">家里人</w:t>
      </w:r>
      <w:r>
        <w:t xml:space="preserve">”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A股影响：中性</w:t>
      </w:r>
    </w:p>
    <w:p>
      <w:pPr>
        <w:numPr>
          <w:ilvl w:val="0"/>
          <w:numId w:val="1012"/>
        </w:numPr>
        <w:pStyle w:val="Compact"/>
      </w:pPr>
      <w:r>
        <w:t xml:space="preserve">相关板块：平台经济、职业保障、物业服务、养老与灵活就业服务</w:t>
      </w:r>
    </w:p>
    <w:p>
      <w:pPr>
        <w:numPr>
          <w:ilvl w:val="0"/>
          <w:numId w:val="1012"/>
        </w:numPr>
        <w:pStyle w:val="Compact"/>
      </w:pPr>
      <w:r>
        <w:t xml:space="preserve">核心解读：报道聚焦新就业形态人员住房、通行和职业伤害保障，长期有利于治理规范，但也可能增加平台和保险端的合规成本。</w:t>
      </w:r>
    </w:p>
    <w:p>
      <w:pPr>
        <w:numPr>
          <w:ilvl w:val="0"/>
          <w:numId w:val="1012"/>
        </w:numPr>
        <w:pStyle w:val="Compact"/>
      </w:pPr>
      <w:r>
        <w:t xml:space="preserve">验证条件：等待职业伤害保障扩围、缴费标准或全国性制度文件；没有制度增量前不作短线映射。</w:t>
      </w:r>
    </w:p>
    <w:p>
      <w:pPr>
        <w:pStyle w:val="Heading4"/>
      </w:pPr>
      <w:bookmarkStart w:id="35" w:name="沙德尔继续影响我国-南方多地出现强降雨"/>
      <w:r>
        <w:t xml:space="preserve">“</w:t>
      </w:r>
      <w:r>
        <w:t xml:space="preserve">沙德尔</w:t>
      </w:r>
      <w:r>
        <w:t xml:space="preserve">”</w:t>
      </w:r>
      <w:r>
        <w:t xml:space="preserve">继续影响我国 南方多地出现强降雨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A股影响：结构性</w:t>
      </w:r>
    </w:p>
    <w:p>
      <w:pPr>
        <w:numPr>
          <w:ilvl w:val="0"/>
          <w:numId w:val="1013"/>
        </w:numPr>
        <w:pStyle w:val="Compact"/>
      </w:pPr>
      <w:r>
        <w:t xml:space="preserve">相关板块：水利排涝、应急装备、工程机械、财险；承压方向为农业、交通、旅游</w:t>
      </w:r>
    </w:p>
    <w:p>
      <w:pPr>
        <w:numPr>
          <w:ilvl w:val="0"/>
          <w:numId w:val="1013"/>
        </w:numPr>
        <w:pStyle w:val="Compact"/>
      </w:pPr>
      <w:r>
        <w:t xml:space="preserve">核心解读：福建累计转移危险区域群众 8.37 万人，部分航线与船舶停运；灾害处置需求上升，但保险赔付和生产中断风险同步存在。</w:t>
      </w:r>
    </w:p>
    <w:p>
      <w:pPr>
        <w:numPr>
          <w:ilvl w:val="0"/>
          <w:numId w:val="1013"/>
        </w:numPr>
        <w:pStyle w:val="Compact"/>
      </w:pPr>
      <w:r>
        <w:t xml:space="preserve">验证条件：关注雨情、灾损、排涝订单和复产进度；降雨快速结束且无新增订单时，题材驱动失效。</w:t>
      </w:r>
    </w:p>
    <w:p>
      <w:pPr>
        <w:pStyle w:val="Heading4"/>
      </w:pPr>
      <w:bookmarkStart w:id="36" w:name="国内联播快讯"/>
      <w:r>
        <w:t xml:space="preserve">国内联播快讯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A股影响：偏利好</w:t>
      </w:r>
    </w:p>
    <w:p>
      <w:pPr>
        <w:numPr>
          <w:ilvl w:val="0"/>
          <w:numId w:val="1014"/>
        </w:numPr>
        <w:pStyle w:val="Compact"/>
      </w:pPr>
      <w:r>
        <w:t xml:space="preserve">相关板块：养老服务、保险、港口航运、运河经济、铁路基建、动力电池与储能、文旅、家政服务</w:t>
      </w:r>
    </w:p>
    <w:p>
      <w:pPr>
        <w:numPr>
          <w:ilvl w:val="0"/>
          <w:numId w:val="1014"/>
        </w:numPr>
        <w:pStyle w:val="Compact"/>
      </w:pPr>
      <w:r>
        <w:t xml:space="preserve">核心解读：平陆运河通航演练、杭州湾跨海铁路大桥主塔封顶和上合组织口岸经济合作中心成立，提供基建与物流线索；动力电池大会聚焦储能和新能源汽车；保险业对多个强台风灾害已赔付 63 亿元，显示财险端赔付压力。</w:t>
      </w:r>
    </w:p>
    <w:p>
      <w:pPr>
        <w:numPr>
          <w:ilvl w:val="0"/>
          <w:numId w:val="1014"/>
        </w:numPr>
        <w:pStyle w:val="Compact"/>
      </w:pPr>
      <w:r>
        <w:t xml:space="preserve">验证条件：优先观察港航、电池、储能方向是否出现订单或资金共振；仅有新闻曝光而无量价验证时不追高。</w:t>
      </w:r>
    </w:p>
    <w:p>
      <w:pPr>
        <w:pStyle w:val="Heading4"/>
      </w:pPr>
      <w:bookmarkStart w:id="37" w:name="X78a3bcce5d3d3f6002ccc4151097c418f5c153c"/>
      <w:r>
        <w:t xml:space="preserve">深化埃中全面战略伙伴关系 维护地区安全稳定——多国人士高度评价习近平主席对埃及的国事访问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A股影响：偏利好</w:t>
      </w:r>
    </w:p>
    <w:p>
      <w:pPr>
        <w:numPr>
          <w:ilvl w:val="0"/>
          <w:numId w:val="1015"/>
        </w:numPr>
        <w:pStyle w:val="Compact"/>
      </w:pPr>
      <w:r>
        <w:t xml:space="preserve">相关板块：中埃经贸、</w:t>
      </w:r>
      <w:r>
        <w:t xml:space="preserve">“</w:t>
      </w:r>
      <w:r>
        <w:t xml:space="preserve">一带一路</w:t>
      </w:r>
      <w:r>
        <w:t xml:space="preserve">”</w:t>
      </w:r>
      <w:r>
        <w:t xml:space="preserve">、国际工程、港口物流</w:t>
      </w:r>
    </w:p>
    <w:p>
      <w:pPr>
        <w:numPr>
          <w:ilvl w:val="0"/>
          <w:numId w:val="1015"/>
        </w:numPr>
        <w:pStyle w:val="Compact"/>
      </w:pPr>
      <w:r>
        <w:t xml:space="preserve">核心解读：强化双边合作预期，但报道未提供新增合同和金额，更多是长期外交与区域稳定信号。</w:t>
      </w:r>
    </w:p>
    <w:p>
      <w:pPr>
        <w:numPr>
          <w:ilvl w:val="0"/>
          <w:numId w:val="1015"/>
        </w:numPr>
        <w:pStyle w:val="Compact"/>
      </w:pPr>
      <w:r>
        <w:t xml:space="preserve">验证条件：以后续工程合同、贸易安排和融资项目为准；没有项目落地则不提升仓位。</w:t>
      </w:r>
    </w:p>
    <w:p>
      <w:pPr>
        <w:pStyle w:val="Heading4"/>
      </w:pPr>
      <w:bookmarkStart w:id="38" w:name="庆祝中埃建交70周年人文交流活动在开罗举行"/>
      <w:r>
        <w:t xml:space="preserve">庆祝中埃建交70周年人文交流活动在开罗举行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A股影响：偏利好</w:t>
      </w:r>
    </w:p>
    <w:p>
      <w:pPr>
        <w:numPr>
          <w:ilvl w:val="0"/>
          <w:numId w:val="1016"/>
        </w:numPr>
        <w:pStyle w:val="Compact"/>
      </w:pPr>
      <w:r>
        <w:t xml:space="preserve">相关板块：影视传媒、内容出海、文化贸易</w:t>
      </w:r>
    </w:p>
    <w:p>
      <w:pPr>
        <w:numPr>
          <w:ilvl w:val="0"/>
          <w:numId w:val="1016"/>
        </w:numPr>
        <w:pStyle w:val="Compact"/>
      </w:pPr>
      <w:r>
        <w:t xml:space="preserve">核心解读：专题片、纪录片、电影展映和媒体合作项目明确，利好中阿文化内容交流，但商业化收入弹性尚未披露。</w:t>
      </w:r>
    </w:p>
    <w:p>
      <w:pPr>
        <w:numPr>
          <w:ilvl w:val="0"/>
          <w:numId w:val="1016"/>
        </w:numPr>
        <w:pStyle w:val="Compact"/>
      </w:pPr>
      <w:r>
        <w:t xml:space="preserve">验证条件：关注版权合作、发行收入和上市传媒公司参与信息；若无公司级受益证据，维持题材观察。</w:t>
      </w:r>
    </w:p>
    <w:p>
      <w:pPr>
        <w:pStyle w:val="Heading4"/>
      </w:pPr>
      <w:bookmarkStart w:id="39" w:name="美称摧毁伊朗试图部署在霍尔木兹海峡的新装备-伊朗称打击科威特美军基地"/>
      <w:r>
        <w:t xml:space="preserve">美称摧毁伊朗试图部署在霍尔木兹海峡的新装备 伊朗称打击科威特美军基地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A股影响：结构性偏利空</w:t>
      </w:r>
    </w:p>
    <w:p>
      <w:pPr>
        <w:numPr>
          <w:ilvl w:val="0"/>
          <w:numId w:val="1017"/>
        </w:numPr>
        <w:pStyle w:val="Compact"/>
      </w:pPr>
      <w:r>
        <w:t xml:space="preserve">相关板块：油气、油运、黄金、军工偏受益；航空、化工下游、全球贸易链承压</w:t>
      </w:r>
    </w:p>
    <w:p>
      <w:pPr>
        <w:numPr>
          <w:ilvl w:val="0"/>
          <w:numId w:val="1017"/>
        </w:numPr>
        <w:pStyle w:val="Compact"/>
      </w:pPr>
      <w:r>
        <w:t xml:space="preserve">核心解读：美伊军事对抗升级并涉及霍尔木兹海峡，油价和航运风险溢价可能上升。采集时 WTI 原油上涨 0.25%，但 COMEX 黄金下跌 0.42%，说明避险交易并非全面一致。</w:t>
      </w:r>
    </w:p>
    <w:p>
      <w:pPr>
        <w:numPr>
          <w:ilvl w:val="0"/>
          <w:numId w:val="1017"/>
        </w:numPr>
        <w:pStyle w:val="Compact"/>
      </w:pPr>
      <w:r>
        <w:t xml:space="preserve">验证条件：油价、油运指数和相关板块资金同步走强才确认；若冲突降级或油价转跌，事件交易失效。</w:t>
      </w:r>
    </w:p>
    <w:p>
      <w:pPr>
        <w:pStyle w:val="Heading4"/>
      </w:pPr>
      <w:bookmarkStart w:id="40" w:name="国际联播快讯"/>
      <w:r>
        <w:t xml:space="preserve">国际联播快讯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A股影响：结构性偏利空</w:t>
      </w:r>
    </w:p>
    <w:p>
      <w:pPr>
        <w:numPr>
          <w:ilvl w:val="0"/>
          <w:numId w:val="1018"/>
        </w:numPr>
        <w:pStyle w:val="Compact"/>
      </w:pPr>
      <w:r>
        <w:t xml:space="preserve">相关板块：黄金、军工、油运；外贸、航空和风险资产承压</w:t>
      </w:r>
    </w:p>
    <w:p>
      <w:pPr>
        <w:numPr>
          <w:ilvl w:val="0"/>
          <w:numId w:val="1018"/>
        </w:numPr>
        <w:pStyle w:val="Compact"/>
      </w:pPr>
      <w:r>
        <w:t xml:space="preserve">核心解读：加沙局势、美军中东补给困境、俄德关系紧张均抬升地缘不确定性；荷兰将约 86 吨黄金储备从北美转移至英国，反映储备分散需求，但不能等同于黄金短线必涨。</w:t>
      </w:r>
    </w:p>
    <w:p>
      <w:pPr>
        <w:numPr>
          <w:ilvl w:val="0"/>
          <w:numId w:val="1018"/>
        </w:numPr>
        <w:pStyle w:val="Compact"/>
      </w:pPr>
      <w:r>
        <w:t xml:space="preserve">验证条件：观察黄金、原油、航运和美元实际走势；若商品价格与板块资金不共振，应放弃事件追涨。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今日重要公告"/>
      <w:r>
        <w:t xml:space="preserve">📋 今日重要公告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⚠️ 东方财富公告源返回 HTTP 567，增减持、解禁、业绩预告/快报、停复牌、重组及监管问询榜单均未核验。</w:t>
      </w:r>
    </w:p>
    <w:p>
      <w:pPr>
        <w:numPr>
          <w:ilvl w:val="0"/>
          <w:numId w:val="1019"/>
        </w:numPr>
        <w:pStyle w:val="Compact"/>
      </w:pPr>
      <w:r>
        <w:t xml:space="preserve">🚫 今日不得把任何未经采集确认的公告写成交易催化；开盘前需通过交易所或公司公告页二次核对持仓股及计划参与标的。</w:t>
      </w:r>
    </w:p>
    <w:p>
      <w:pPr>
        <w:numPr>
          <w:ilvl w:val="0"/>
          <w:numId w:val="1019"/>
        </w:numPr>
        <w:pStyle w:val="Compact"/>
      </w:pPr>
      <w:r>
        <w:t xml:space="preserve">💡 若持仓股出现停复牌、减持、问询或业绩类公告，以公告事实优先于本报告的条件式策略。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今日经济数据与事件"/>
      <w:r>
        <w:t xml:space="preserve">📅 今日经济数据与事件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⚠️ 华泰补充文本提示今晚关注美国非农数据，但采集 JSON 未提供发布时间、市场预期和前值；事件本身按单源线索处理，具体数值未核验。</w:t>
      </w:r>
    </w:p>
    <w:p>
      <w:pPr>
        <w:numPr>
          <w:ilvl w:val="0"/>
          <w:numId w:val="1020"/>
        </w:numPr>
        <w:pStyle w:val="Compact"/>
      </w:pPr>
      <w:r>
        <w:t xml:space="preserve">⚠️ 国内 CPI、PPI、PMI、GDP、社融、M2、MLF、LPR及逆回购安排未在本轮采集中形成结构化日历，均不补写。</w:t>
      </w:r>
    </w:p>
    <w:p>
      <w:pPr>
        <w:numPr>
          <w:ilvl w:val="0"/>
          <w:numId w:val="1020"/>
        </w:numPr>
        <w:pStyle w:val="Compact"/>
      </w:pPr>
      <w:r>
        <w:t xml:space="preserve">💡 盘中策略：非农落地前不因单一外围反弹扩大隔夜风险仓位；若美元、黄金、原油出现反向急变，优先降低高波动题材仓位。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全球重要事件"/>
      <w:r>
        <w:t xml:space="preserve">🌍 全球重要事件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⚠️ 美伊冲突及霍尔木兹海峡风险：油气、油运和军工可能受益，航空、化工下游和国际物流成本承压；必须等待 A 股资金与板块成交确认。</w:t>
      </w:r>
    </w:p>
    <w:p>
      <w:pPr>
        <w:numPr>
          <w:ilvl w:val="0"/>
          <w:numId w:val="1021"/>
        </w:numPr>
        <w:pStyle w:val="Compact"/>
      </w:pPr>
      <w:r>
        <w:t xml:space="preserve">⚠️ 加沙局势与俄德关系紧张：提升全球风险溢价，但没有直接对应 A 股公司业绩的确认数据。</w:t>
      </w:r>
    </w:p>
    <w:p>
      <w:pPr>
        <w:numPr>
          <w:ilvl w:val="0"/>
          <w:numId w:val="1021"/>
        </w:numPr>
        <w:pStyle w:val="Compact"/>
      </w:pPr>
      <w:r>
        <w:t xml:space="preserve">📈 荷兰央行将约 86 吨黄金储备从北美转移至英国，体现储备分散需求；采集时 COMEX 黄金仍跌 0.42%，不支持无条件追涨贵金属。</w:t>
      </w:r>
    </w:p>
    <w:p>
      <w:pPr>
        <w:numPr>
          <w:ilvl w:val="0"/>
          <w:numId w:val="1021"/>
        </w:numPr>
        <w:pStyle w:val="Compact"/>
      </w:pPr>
      <w:r>
        <w:t xml:space="preserve">🌧️ 台风</w:t>
      </w:r>
      <w:r>
        <w:t xml:space="preserve">“</w:t>
      </w:r>
      <w:r>
        <w:t xml:space="preserve">沙德尔</w:t>
      </w:r>
      <w:r>
        <w:t xml:space="preserve">”</w:t>
      </w:r>
      <w:r>
        <w:t xml:space="preserve">影响进入尾声，但湖南、江西、广西、福建部分地区仍有大到暴雨风险，关注灾损、交通和复产情况。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昨日复盘要点"/>
      <w:r>
        <w:t xml:space="preserve">📊 昨日复盘要点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📈 上证指数 3942.0879，涨 0.0178%；深证成指 13625.122，涨 0.0997%；创业板指 3312.541，涨 0.0090%；沪深 300 涨 0.1016%，科创 50 跌 0.3976%。三源点位与涨跌幅校验一致。</w:t>
      </w:r>
    </w:p>
    <w:p>
      <w:pPr>
        <w:numPr>
          <w:ilvl w:val="0"/>
          <w:numId w:val="1022"/>
        </w:numPr>
        <w:pStyle w:val="Compact"/>
      </w:pPr>
      <w:r>
        <w:t xml:space="preserve">📉 同花顺单源显示上涨 1846 家、下跌 3570 家、平盘 133 家，涨停 46 家、跌停 16 家。指数微涨但个股明显偏弱，权重相对占优。</w:t>
      </w:r>
    </w:p>
    <w:p>
      <w:pPr>
        <w:numPr>
          <w:ilvl w:val="0"/>
          <w:numId w:val="1022"/>
        </w:numPr>
        <w:pStyle w:val="Compact"/>
      </w:pPr>
      <w:r>
        <w:t xml:space="preserve">💰 同花顺单源确认全市场成交额 17802.38 亿元；昨日金额字段为 18202.97 亿元、变动额为 -400.59 亿元，但比较口径为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，因此不计算或引用变化百分比。</w:t>
      </w:r>
    </w:p>
    <w:p>
      <w:pPr>
        <w:numPr>
          <w:ilvl w:val="0"/>
          <w:numId w:val="1022"/>
        </w:numPr>
        <w:pStyle w:val="Compact"/>
      </w:pPr>
      <w:r>
        <w:t xml:space="preserve">🎭</w:t>
      </w:r>
      <w:r>
        <w:t xml:space="preserve"> </w:t>
      </w:r>
      <w:r>
        <w:rPr>
          <w:rStyle w:val="VerbatimChar"/>
        </w:rPr>
        <w:t xml:space="preserve">derived.market_style</w:t>
      </w:r>
      <w:r>
        <w:t xml:space="preserve"> </w:t>
      </w:r>
      <w:r>
        <w:t xml:space="preserve">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，仓位模型上限为 40%；激进 40%、均衡 25%、保守 10%。</w:t>
      </w:r>
    </w:p>
    <w:p>
      <w:pPr>
        <w:numPr>
          <w:ilvl w:val="0"/>
          <w:numId w:val="1022"/>
        </w:numPr>
        <w:pStyle w:val="Compact"/>
      </w:pPr>
      <w:r>
        <w:t xml:space="preserve">⚠️ 资金流、板块涨跌、活跃个股和涨跌停样本采集失败，无法用本地结构化数据确认华泰文本提出的液冷、消费、贵金属等方向强度。</w:t>
      </w:r>
    </w:p>
    <w:p>
      <w:pPr>
        <w:pStyle w:val="Heading3"/>
      </w:pPr>
      <w:bookmarkStart w:id="45" w:name="资金流向-top10"/>
      <w:r>
        <w:t xml:space="preserve">💰 资金流向 TOP10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💰 主力净流入 TOP10：未核验。</w:t>
      </w:r>
      <w:r>
        <w:rPr>
          <w:rStyle w:val="VerbatimChar"/>
        </w:rPr>
        <w:t xml:space="preserve">money_flow.ok=false</w:t>
      </w:r>
      <w:r>
        <w:t xml:space="preserve">，东方财富接口返回 HTTP 502；无真实榜单可用，禁止自行补齐板块或金额。</w:t>
      </w:r>
    </w:p>
    <w:p>
      <w:pPr>
        <w:numPr>
          <w:ilvl w:val="0"/>
          <w:numId w:val="1023"/>
        </w:numPr>
        <w:pStyle w:val="Compact"/>
      </w:pPr>
      <w:r>
        <w:t xml:space="preserve">⚠️ 主力净流出 TOP10：未核验。</w:t>
      </w:r>
      <w:r>
        <w:rPr>
          <w:rStyle w:val="VerbatimChar"/>
        </w:rPr>
        <w:t xml:space="preserve">money_flow.ok=false</w:t>
      </w:r>
      <w:r>
        <w:t xml:space="preserve">，无真实榜单可用，禁止以华泰文本中的市场净流入描述替代 TOP10。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6" w:name="今日操作策略"/>
      <w:r>
        <w:t xml:space="preserve">🎯 今日操作策略</w:t>
      </w:r>
      <w:bookmarkEnd w:id="46"/>
    </w:p>
    <w:p>
      <w:pPr>
        <w:numPr>
          <w:ilvl w:val="0"/>
          <w:numId w:val="1024"/>
        </w:numPr>
        <w:pStyle w:val="Compact"/>
      </w:pPr>
      <w:r>
        <w:t xml:space="preserve">🎭 市场预判：震荡、防御优先。指数端稳定、A50 小幅上涨，但昨日下跌家数显著多于上涨家数，且关键资金与板块数据缺失，不具备高置信度进攻条件。</w:t>
      </w:r>
    </w:p>
    <w:p>
      <w:pPr>
        <w:numPr>
          <w:ilvl w:val="0"/>
          <w:numId w:val="1024"/>
        </w:numPr>
        <w:pStyle w:val="Compact"/>
      </w:pPr>
      <w:r>
        <w:t xml:space="preserve">💡 激进账户：仓位不高于 40%，仅做开盘后出现板块放量、核心标的承接和资金同向的方向；禁止竞价无确认追高。</w:t>
      </w:r>
    </w:p>
    <w:p>
      <w:pPr>
        <w:numPr>
          <w:ilvl w:val="0"/>
          <w:numId w:val="1024"/>
        </w:numPr>
        <w:pStyle w:val="Compact"/>
      </w:pPr>
      <w:r>
        <w:t xml:space="preserve">💡 稳健账户：仓位控制在 25%，优先保留银行等低波动底仓，进攻仓等待首小时量价验证。</w:t>
      </w:r>
    </w:p>
    <w:p>
      <w:pPr>
        <w:numPr>
          <w:ilvl w:val="0"/>
          <w:numId w:val="1024"/>
        </w:numPr>
        <w:pStyle w:val="Compact"/>
      </w:pPr>
      <w:r>
        <w:t xml:space="preserve">💡 保守账户：仓位控制在 10%，以持仓风控和事件观察为主，资金流榜单恢复前不主动扩大题材仓位。</w:t>
      </w:r>
    </w:p>
    <w:p>
      <w:pPr>
        <w:numPr>
          <w:ilvl w:val="0"/>
          <w:numId w:val="1024"/>
        </w:numPr>
        <w:pStyle w:val="Compact"/>
      </w:pPr>
      <w:r>
        <w:t xml:space="preserve">🚫 回避：只有文本催化、没有板块成交和资金确认的高开题材；连续加速但承接不足的液冷、消费和贵金属个股。</w:t>
      </w:r>
    </w:p>
    <w:p>
      <w:pPr>
        <w:numPr>
          <w:ilvl w:val="0"/>
          <w:numId w:val="1024"/>
        </w:numPr>
        <w:pStyle w:val="Compact"/>
      </w:pPr>
      <w:r>
        <w:t xml:space="preserve">⚠️ 关键风险：中东冲突升级、油价急升、非农事件扰动、指数高开回落、资金流与板块源继续不可用。</w:t>
      </w:r>
    </w:p>
    <w:p>
      <w:pPr>
        <w:pStyle w:val="Heading3"/>
      </w:pPr>
      <w:bookmarkStart w:id="47" w:name="开盘验证清单"/>
      <w:r>
        <w:t xml:space="preserve">🔍 开盘验证清单</w:t>
      </w:r>
      <w:bookmarkEnd w:id="47"/>
    </w:p>
    <w:p>
      <w:pPr>
        <w:numPr>
          <w:ilvl w:val="0"/>
          <w:numId w:val="1025"/>
        </w:numPr>
        <w:pStyle w:val="Compact"/>
      </w:pPr>
      <w:r>
        <w:t xml:space="preserve">📊 上证能否守住昨日收盘 3942.0879，科创 50 能否修复昨日 -0.3976% 的相对弱势。</w:t>
      </w:r>
    </w:p>
    <w:p>
      <w:pPr>
        <w:numPr>
          <w:ilvl w:val="0"/>
          <w:numId w:val="1025"/>
        </w:numPr>
        <w:pStyle w:val="Compact"/>
      </w:pPr>
      <w:r>
        <w:t xml:space="preserve">💰 全市场成交能否保持活跃；由于昨日成交额比较口径未核验，不使用同比/环比百分比阈值。</w:t>
      </w:r>
    </w:p>
    <w:p>
      <w:pPr>
        <w:numPr>
          <w:ilvl w:val="0"/>
          <w:numId w:val="1025"/>
        </w:numPr>
        <w:pStyle w:val="Compact"/>
      </w:pPr>
      <w:r>
        <w:t xml:space="preserve">🔥 液冷、贵金属和银行是否出现板块级同步上涨，而不是单只个股脉冲。</w:t>
      </w:r>
    </w:p>
    <w:p>
      <w:pPr>
        <w:numPr>
          <w:ilvl w:val="0"/>
          <w:numId w:val="1025"/>
        </w:numPr>
        <w:pStyle w:val="Compact"/>
      </w:pPr>
      <w:r>
        <w:t xml:space="preserve">⚠️ 涨跌家数能否由昨日 1846:3570 的弱势结构转为改善；若下跌家数继续占优，减少题材暴露。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8" w:name="重点投资方向"/>
      <w:r>
        <w:t xml:space="preserve">🎯 重点投资方向</w:t>
      </w:r>
      <w:bookmarkEnd w:id="48"/>
    </w:p>
    <w:p>
      <w:pPr>
        <w:pStyle w:val="Heading3"/>
      </w:pPr>
      <w:bookmarkStart w:id="49" w:name="方向一ai-算力液冷设备热管理优先级中待本地盘面验证"/>
      <w:r>
        <w:t xml:space="preserve">🚀 方向一：AI 算力—液冷设备/热管理（优先级：中，待本地盘面验证）</w:t>
      </w:r>
      <w:bookmarkEnd w:id="49"/>
    </w:p>
    <w:p>
      <w:pPr>
        <w:numPr>
          <w:ilvl w:val="0"/>
          <w:numId w:val="1026"/>
        </w:numPr>
        <w:pStyle w:val="Compact"/>
      </w:pPr>
      <w:r>
        <w:t xml:space="preserve">📌 证据链：华泰</w:t>
      </w:r>
      <w:r>
        <w:t xml:space="preserve"> </w:t>
      </w:r>
      <w:r>
        <w:rPr>
          <w:rStyle w:val="VerbatimChar"/>
        </w:rPr>
        <w:t xml:space="preserve">query_indicator</w:t>
      </w:r>
      <w:r>
        <w:t xml:space="preserve"> </w:t>
      </w:r>
      <w:r>
        <w:t xml:space="preserve">单源文本称液冷为昨日强势方向；华泰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给出同飞股份 107.21 元、涨 9.51%，飞龙股份 63.03 元、涨 8.54%，强瑞技术 127.25 元、涨 5.65%；产业解释指向数据中心功耗提升与液冷产能扩张。</w:t>
      </w:r>
    </w:p>
    <w:p>
      <w:pPr>
        <w:numPr>
          <w:ilvl w:val="0"/>
          <w:numId w:val="1026"/>
        </w:numPr>
        <w:pStyle w:val="Compact"/>
      </w:pPr>
      <w:r>
        <w:t xml:space="preserve">⚠️ 降级说明：本地</w:t>
      </w:r>
      <w:r>
        <w:t xml:space="preserve"> 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money_flow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 </w:t>
      </w:r>
      <w:r>
        <w:t xml:space="preserve">和</w:t>
      </w:r>
      <w:r>
        <w:t xml:space="preserve"> </w:t>
      </w:r>
      <w:r>
        <w:rPr>
          <w:rStyle w:val="VerbatimChar"/>
        </w:rPr>
        <w:t xml:space="preserve">stock_quote_cross_checks</w:t>
      </w:r>
      <w:r>
        <w:t xml:space="preserve"> </w:t>
      </w:r>
      <w:r>
        <w:t xml:space="preserve">均失败，以上个股价格与涨幅未获新浪/东财/腾讯结构化交叉验证，不能作为强确定性推荐。</w:t>
      </w:r>
    </w:p>
    <w:p>
      <w:pPr>
        <w:numPr>
          <w:ilvl w:val="0"/>
          <w:numId w:val="1026"/>
        </w:numPr>
        <w:pStyle w:val="Compact"/>
      </w:pPr>
      <w:r>
        <w:t xml:space="preserve">🔥 核心标的：同飞股份（工业温控与液冷低温冷源线索）、飞龙股份（汽车热管理向服务器液冷迁移线索）、强瑞技术（液冷服务器组装测试与分水器线索）。</w:t>
      </w:r>
    </w:p>
    <w:p>
      <w:pPr>
        <w:numPr>
          <w:ilvl w:val="0"/>
          <w:numId w:val="1026"/>
        </w:numPr>
        <w:pStyle w:val="Compact"/>
      </w:pPr>
      <w:r>
        <w:t xml:space="preserve">💡 参与策略：激进者仅在板块放量、核心股不高开兑现时小仓试错；稳健者等待首次分歧后承接；保守者不参与高波动追涨。</w:t>
      </w:r>
    </w:p>
    <w:p>
      <w:pPr>
        <w:numPr>
          <w:ilvl w:val="0"/>
          <w:numId w:val="1026"/>
        </w:numPr>
        <w:pStyle w:val="Compact"/>
      </w:pPr>
      <w:r>
        <w:t xml:space="preserve">✅ 触发条件：至少两只核心标的量价同步走强，板块出现可核验净流入，且指数不出现共振下跌。</w:t>
      </w:r>
    </w:p>
    <w:p>
      <w:pPr>
        <w:numPr>
          <w:ilvl w:val="0"/>
          <w:numId w:val="1026"/>
        </w:numPr>
        <w:pStyle w:val="Compact"/>
      </w:pPr>
      <w:r>
        <w:t xml:space="preserve">🚫 失效条件：核心股高开低走、跌破开盘价后无承接，或板块资金转为净流出、涨停扩散失败。</w:t>
      </w:r>
    </w:p>
    <w:p>
      <w:pPr>
        <w:numPr>
          <w:ilvl w:val="0"/>
          <w:numId w:val="1026"/>
        </w:numPr>
        <w:pStyle w:val="Compact"/>
      </w:pPr>
      <w:r>
        <w:t xml:space="preserve">⚠️ 风险：华泰文本单源、估值偏高、获利盘兑现、海外算力链波动和数据源缺失。</w:t>
      </w:r>
    </w:p>
    <w:p>
      <w:pPr>
        <w:pStyle w:val="Heading3"/>
      </w:pPr>
      <w:bookmarkStart w:id="50" w:name="方向二贵金属黄金白银资源优先级观察"/>
      <w:r>
        <w:t xml:space="preserve">🚀 方向二：贵金属—黄金/白银资源（优先级：观察）</w:t>
      </w:r>
      <w:bookmarkEnd w:id="50"/>
    </w:p>
    <w:p>
      <w:pPr>
        <w:numPr>
          <w:ilvl w:val="0"/>
          <w:numId w:val="1027"/>
        </w:numPr>
        <w:pStyle w:val="Compact"/>
      </w:pPr>
      <w:r>
        <w:t xml:space="preserve">📌 证据链：美伊冲突与多国黄金储备调整提供避险逻辑；华泰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单源给出湖南黄金 27.54 元、涨 5.07%，湖南白银 11.59 元、涨 7.81%，白银有色 7.33 元、涨 10.06%；但采集时 COMEX 黄金 4520.814、跌 0.42%，外盘价格与题材情绪并未共振。</w:t>
      </w:r>
    </w:p>
    <w:p>
      <w:pPr>
        <w:numPr>
          <w:ilvl w:val="0"/>
          <w:numId w:val="1027"/>
        </w:numPr>
        <w:pStyle w:val="Compact"/>
      </w:pPr>
      <w:r>
        <w:t xml:space="preserve">🔥 核心标的：湖南黄金（黄金及锑钨产业链）、湖南白银（白银采选冶炼深加工）、白银有色（黄金白银采选冶炼）。</w:t>
      </w:r>
    </w:p>
    <w:p>
      <w:pPr>
        <w:numPr>
          <w:ilvl w:val="0"/>
          <w:numId w:val="1027"/>
        </w:numPr>
        <w:pStyle w:val="Compact"/>
      </w:pPr>
      <w:r>
        <w:t xml:space="preserve">💡 参与策略：激进者只做外盘金价转强后的板块首分歧；稳健者等待金价与 A 股板块同向确认；保守者仅作对冲观察。</w:t>
      </w:r>
    </w:p>
    <w:p>
      <w:pPr>
        <w:numPr>
          <w:ilvl w:val="0"/>
          <w:numId w:val="1027"/>
        </w:numPr>
        <w:pStyle w:val="Compact"/>
      </w:pPr>
      <w:r>
        <w:t xml:space="preserve">✅ 触发条件：黄金或白银价格转强、板块可核验净流入、核心标的回踩承接稳定三者至少同时满足两项。</w:t>
      </w:r>
    </w:p>
    <w:p>
      <w:pPr>
        <w:numPr>
          <w:ilvl w:val="0"/>
          <w:numId w:val="1027"/>
        </w:numPr>
        <w:pStyle w:val="Compact"/>
      </w:pPr>
      <w:r>
        <w:t xml:space="preserve">🚫 失效条件：COMEX 黄金延续下跌、地缘冲突降级，或 A 股贵金属高开低走且资金流出。</w:t>
      </w:r>
    </w:p>
    <w:p>
      <w:pPr>
        <w:numPr>
          <w:ilvl w:val="0"/>
          <w:numId w:val="1027"/>
        </w:numPr>
        <w:pStyle w:val="Compact"/>
      </w:pPr>
      <w:r>
        <w:t xml:space="preserve">⚠️ 风险：事件快速反转、商品价格波动、连续上涨后的兑现压力及个股行情缺少多源校验。</w:t>
      </w:r>
    </w:p>
    <w:p>
      <w:pPr>
        <w:pStyle w:val="Heading3"/>
      </w:pPr>
      <w:bookmarkStart w:id="51" w:name="方向三银行高股息防御优先级中低"/>
      <w:r>
        <w:t xml:space="preserve">🚀 方向三：银行—高股息防御（优先级：中低）</w:t>
      </w:r>
      <w:bookmarkEnd w:id="51"/>
    </w:p>
    <w:p>
      <w:pPr>
        <w:numPr>
          <w:ilvl w:val="0"/>
          <w:numId w:val="1028"/>
        </w:numPr>
        <w:pStyle w:val="Compact"/>
      </w:pPr>
      <w:r>
        <w:t xml:space="preserve">📌 证据链：昨日上涨 1846 家、下跌 3570 家，市场风格被模型判定为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；沪深 300 涨 0.1016%，强于科创 50 的 -0.3976%；工商银行 8.10 元、跌 1.46%，农业银行 6.89 元、跌 2.41%，显示防御资产自身也有回撤，适合持有管理而非追高。</w:t>
      </w:r>
    </w:p>
    <w:p>
      <w:pPr>
        <w:numPr>
          <w:ilvl w:val="0"/>
          <w:numId w:val="1028"/>
        </w:numPr>
        <w:pStyle w:val="Compact"/>
      </w:pPr>
      <w:r>
        <w:t xml:space="preserve">🔥 核心标的：工商银行（现有盈利底仓、低波动属性）、农业银行（现有盈利底仓、仓位较大）。</w:t>
      </w:r>
    </w:p>
    <w:p>
      <w:pPr>
        <w:numPr>
          <w:ilvl w:val="0"/>
          <w:numId w:val="1028"/>
        </w:numPr>
        <w:pStyle w:val="Compact"/>
      </w:pPr>
      <w:r>
        <w:t xml:space="preserve">💡 参与策略：激进者不把银行作为短线主攻；稳健者保留底仓并分批止盈管理；保守者在不破关键防守位时持有，不新增集中度。</w:t>
      </w:r>
    </w:p>
    <w:p>
      <w:pPr>
        <w:numPr>
          <w:ilvl w:val="0"/>
          <w:numId w:val="1028"/>
        </w:numPr>
        <w:pStyle w:val="Compact"/>
      </w:pPr>
      <w:r>
        <w:t xml:space="preserve">✅ 触发条件：银行板块止跌、核心股收复前收并出现成交承接，指数维持稳定。</w:t>
      </w:r>
    </w:p>
    <w:p>
      <w:pPr>
        <w:numPr>
          <w:ilvl w:val="0"/>
          <w:numId w:val="1028"/>
        </w:numPr>
        <w:pStyle w:val="Compact"/>
      </w:pPr>
      <w:r>
        <w:t xml:space="preserve">🚫 失效条件：工商银行有效跌破 7.40 元或农业银行有效跌破 6.35 元，或银行板块放量走弱。</w:t>
      </w:r>
    </w:p>
    <w:p>
      <w:pPr>
        <w:numPr>
          <w:ilvl w:val="0"/>
          <w:numId w:val="1028"/>
        </w:numPr>
        <w:pStyle w:val="Compact"/>
      </w:pPr>
      <w:r>
        <w:t xml:space="preserve">⚠️ 风险：高股息交易拥挤、利率变化、净息差压力及当前仓位集中。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2" w:name="华泰自选股观察"/>
      <w:r>
        <w:t xml:space="preserve">🧾 华泰自选股观察</w:t>
      </w:r>
      <w:bookmarkEnd w:id="52"/>
    </w:p>
    <w:p>
      <w:pPr>
        <w:pStyle w:val="FirstParagraph"/>
      </w:pPr>
      <w:r>
        <w:t xml:space="preserve">华泰自选股共 3 只，行情均采集成功。三只股票分别对应光伏、数字文创和银行防御，与待验证的液冷、贵金属主线没有直接共振；整体以跟踪为主、暂不作为主攻方向。</w:t>
      </w:r>
    </w:p>
    <w:p>
      <w:pPr>
        <w:numPr>
          <w:ilvl w:val="0"/>
          <w:numId w:val="1029"/>
        </w:numPr>
        <w:pStyle w:val="Compact"/>
      </w:pPr>
      <w:r>
        <w:t xml:space="preserve">📉 603185 弘元绿能：最新价 14.83 元，涨 0.82%，买一 14.83 元、卖一 14.84 元。所属方向为光伏硅片/新能源制造，与今日待验证的液冷、贵金属主线无明显共振。判断：深套持仓不追高、不无条件补仓，继续观察，只有光伏板块放量共振后才可低吸跟踪。</w:t>
      </w:r>
    </w:p>
    <w:p>
      <w:pPr>
        <w:numPr>
          <w:ilvl w:val="0"/>
          <w:numId w:val="1029"/>
        </w:numPr>
        <w:pStyle w:val="Compact"/>
      </w:pPr>
      <w:r>
        <w:t xml:space="preserve">📈 603466 风语筑：最新价 12.09 元，涨 0.25%，买一 12.09 元、卖一 12.10 元。所属方向为数字文创、展览展示与文化科技；与中埃人文交流、文旅博览会存在主题关联，但缺少板块资金和公告验证。判断：继续观察，暂不作为主攻方向；放量突破后再评估。</w:t>
      </w:r>
    </w:p>
    <w:p>
      <w:pPr>
        <w:numPr>
          <w:ilvl w:val="0"/>
          <w:numId w:val="1029"/>
        </w:numPr>
        <w:pStyle w:val="Compact"/>
      </w:pPr>
      <w:r>
        <w:t xml:space="preserve">📉 601398 工商银行：最新价 8.10 元，跌 1.46%，买一 8.09 元、卖一 8.10 元。所属方向为国有大行、高股息防御，与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市场风格有一定共振，但个股当日表现偏弱。判断：底仓偏稳健，持有并设置利润保护，不追高加仓。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3" w:name="用户实盘持仓策略"/>
      <w:r>
        <w:t xml:space="preserve">💼 用户实盘持仓策略</w:t>
      </w:r>
      <w:bookmarkEnd w:id="53"/>
    </w:p>
    <w:p>
      <w:pPr>
        <w:pStyle w:val="BlockText"/>
      </w:pPr>
      <w:r>
        <w:t xml:space="preserve">盈亏按最新可得价与成本价静态计算，未计佣金、印花税、分红和融资成本。弘元绿能、风语筑、工商银行采用采集 JSON 中华泰行情；农业银行采用本次补充查询的华泰行情。公告源、日 K 趋势、成交量及技术支撑阻力未核验，因此只使用已确认的前收、涨跌停价和条件式信号。</w:t>
      </w:r>
    </w:p>
    <w:p>
      <w:pPr>
        <w:pStyle w:val="Heading3"/>
      </w:pPr>
      <w:bookmarkStart w:id="54" w:name="弘元绿能300-股成本-26.6669-元"/>
      <w:r>
        <w:t xml:space="preserve">📉 603185 弘元绿能｜300 股｜成本 26.6669 元</w:t>
      </w:r>
      <w:bookmarkEnd w:id="54"/>
    </w:p>
    <w:p>
      <w:pPr>
        <w:numPr>
          <w:ilvl w:val="0"/>
          <w:numId w:val="1030"/>
        </w:numPr>
        <w:pStyle w:val="Compact"/>
      </w:pPr>
      <w:r>
        <w:t xml:space="preserve">📊 最新价 14.83 元，涨 0.82%；静态盈亏 -44.39%，浮亏 3551.07 元，市值 4449.00 元。</w:t>
      </w:r>
    </w:p>
    <w:p>
      <w:pPr>
        <w:numPr>
          <w:ilvl w:val="0"/>
          <w:numId w:val="1030"/>
        </w:numPr>
        <w:pStyle w:val="Compact"/>
      </w:pPr>
      <w:r>
        <w:t xml:space="preserve">💡 今日动作：清仓观察/减仓优先级最高。深套不构成补仓理由；若开盘反弹但光伏板块无量价共振，优先借反弹降低风险敞口。</w:t>
      </w:r>
    </w:p>
    <w:p>
      <w:pPr>
        <w:numPr>
          <w:ilvl w:val="0"/>
          <w:numId w:val="1030"/>
        </w:numPr>
        <w:pStyle w:val="Compact"/>
      </w:pPr>
      <w:r>
        <w:t xml:space="preserve">📉 减仓或离场触发：跌破前收 14.71 元后无法快速收回；或接近跌停价 13.24 元且卖盘持续增强；或光伏板块明显弱于大盘。</w:t>
      </w:r>
    </w:p>
    <w:p>
      <w:pPr>
        <w:numPr>
          <w:ilvl w:val="0"/>
          <w:numId w:val="1030"/>
        </w:numPr>
        <w:pStyle w:val="Compact"/>
      </w:pPr>
      <w:r>
        <w:t xml:space="preserve">📈 条件加仓触发：仅在光伏板块出现可核验净流入、个股放量收复关键均线且回踩不破后考虑，小仓分批；当前不满足。</w:t>
      </w:r>
    </w:p>
    <w:p>
      <w:pPr>
        <w:numPr>
          <w:ilvl w:val="0"/>
          <w:numId w:val="1030"/>
        </w:numPr>
        <w:pStyle w:val="Compact"/>
      </w:pPr>
      <w:r>
        <w:t xml:space="preserve">🚫 失效条件：任何</w:t>
      </w:r>
      <w:r>
        <w:t xml:space="preserve">“</w:t>
      </w:r>
      <w:r>
        <w:t xml:space="preserve">因亏损较大而摊低成本</w:t>
      </w:r>
      <w:r>
        <w:t xml:space="preserve">”</w:t>
      </w:r>
      <w:r>
        <w:t xml:space="preserve">的策略均无效；若后续公告出现减持、业绩恶化或监管风险，直接取消加仓预案。</w:t>
      </w:r>
    </w:p>
    <w:p>
      <w:pPr>
        <w:numPr>
          <w:ilvl w:val="0"/>
          <w:numId w:val="1030"/>
        </w:numPr>
        <w:pStyle w:val="Compact"/>
      </w:pPr>
      <w:r>
        <w:t xml:space="preserve">⚠️ 风险：光伏供需与价格周期、行业产能压力、行情和公告交叉验证缺失。</w:t>
      </w:r>
    </w:p>
    <w:p>
      <w:pPr>
        <w:pStyle w:val="Heading3"/>
      </w:pPr>
      <w:bookmarkStart w:id="55" w:name="风语筑700-股成本-13.2159-元"/>
      <w:r>
        <w:t xml:space="preserve">📉 603466 风语筑｜700 股｜成本 13.2159 元</w:t>
      </w:r>
      <w:bookmarkEnd w:id="55"/>
    </w:p>
    <w:p>
      <w:pPr>
        <w:numPr>
          <w:ilvl w:val="0"/>
          <w:numId w:val="1031"/>
        </w:numPr>
        <w:pStyle w:val="Compact"/>
      </w:pPr>
      <w:r>
        <w:t xml:space="preserve">📊 最新价 12.09 元，涨 0.25%；静态盈亏 -8.52%，浮亏 788.13 元，市值 8463.00 元。</w:t>
      </w:r>
    </w:p>
    <w:p>
      <w:pPr>
        <w:numPr>
          <w:ilvl w:val="0"/>
          <w:numId w:val="1031"/>
        </w:numPr>
        <w:pStyle w:val="Compact"/>
      </w:pPr>
      <w:r>
        <w:t xml:space="preserve">💡 今日动作：持有观察，反弹弱则减仓。文化科技题材有联播线索，但尚无资金与板块结构化确认，不以回本价作为唯一卖点。</w:t>
      </w:r>
    </w:p>
    <w:p>
      <w:pPr>
        <w:numPr>
          <w:ilvl w:val="0"/>
          <w:numId w:val="1031"/>
        </w:numPr>
        <w:pStyle w:val="Compact"/>
      </w:pPr>
      <w:r>
        <w:t xml:space="preserve">📉 减仓或离场触发：跌破前收 12.06 元后不能收回，或放量跌向 10.85 元风险区间；题材高开低走且板块无扩散时先减仓。</w:t>
      </w:r>
    </w:p>
    <w:p>
      <w:pPr>
        <w:numPr>
          <w:ilvl w:val="0"/>
          <w:numId w:val="1031"/>
        </w:numPr>
        <w:pStyle w:val="Compact"/>
      </w:pPr>
      <w:r>
        <w:t xml:space="preserve">📈 条件加仓触发：放量站稳 12.06 元上方、突破近期平台且数字文创/文旅板块资金共振后才可小仓加；不得提前埋伏摊薄。</w:t>
      </w:r>
    </w:p>
    <w:p>
      <w:pPr>
        <w:numPr>
          <w:ilvl w:val="0"/>
          <w:numId w:val="1031"/>
        </w:numPr>
        <w:pStyle w:val="Compact"/>
      </w:pPr>
      <w:r>
        <w:t xml:space="preserve">🚫 失效条件：公告出现项目延期、减持或监管风险，或板块催化仅停留在新闻标题而无订单与成交验证。</w:t>
      </w:r>
    </w:p>
    <w:p>
      <w:pPr>
        <w:numPr>
          <w:ilvl w:val="0"/>
          <w:numId w:val="1031"/>
        </w:numPr>
        <w:pStyle w:val="Compact"/>
      </w:pPr>
      <w:r>
        <w:t xml:space="preserve">⚠️ 风险：项目制收入波动、题材持续性不足、公告源与日 K 数据未核验。</w:t>
      </w:r>
    </w:p>
    <w:p>
      <w:pPr>
        <w:pStyle w:val="Heading3"/>
      </w:pPr>
      <w:bookmarkStart w:id="56" w:name="工商银行1900-股成本-7.0601-元"/>
      <w:r>
        <w:t xml:space="preserve">📈 601398 工商银行｜1900 股｜成本 7.0601 元</w:t>
      </w:r>
      <w:bookmarkEnd w:id="56"/>
    </w:p>
    <w:p>
      <w:pPr>
        <w:numPr>
          <w:ilvl w:val="0"/>
          <w:numId w:val="1032"/>
        </w:numPr>
        <w:pStyle w:val="Compact"/>
      </w:pPr>
      <w:r>
        <w:t xml:space="preserve">📊 最新价 8.10 元，跌 1.46%；静态盈亏 +14.73%，浮盈 1975.81 元，市值 15390.00 元。</w:t>
      </w:r>
    </w:p>
    <w:p>
      <w:pPr>
        <w:numPr>
          <w:ilvl w:val="0"/>
          <w:numId w:val="1032"/>
        </w:numPr>
        <w:pStyle w:val="Compact"/>
      </w:pPr>
      <w:r>
        <w:t xml:space="preserve">💡 今日动作：最稳健持有，但执行利润保护。当前有安全垫，不建议因防御标签继续集中加仓。</w:t>
      </w:r>
    </w:p>
    <w:p>
      <w:pPr>
        <w:numPr>
          <w:ilvl w:val="0"/>
          <w:numId w:val="1032"/>
        </w:numPr>
        <w:pStyle w:val="Compact"/>
      </w:pPr>
      <w:r>
        <w:t xml:space="preserve">📉 减仓或离场触发：跌破前收 8.22 元后弱势延续，可先止盈一部分；若有效跌破已确认跌停参考 7.40 元附近，则大幅降低仓位。</w:t>
      </w:r>
    </w:p>
    <w:p>
      <w:pPr>
        <w:numPr>
          <w:ilvl w:val="0"/>
          <w:numId w:val="1032"/>
        </w:numPr>
        <w:pStyle w:val="Compact"/>
      </w:pPr>
      <w:r>
        <w:t xml:space="preserve">📈 条件加仓触发：银行板块止跌、个股重新站上 8.22 元并有成交承接，且组合银行仓位未过度集中时才考虑。</w:t>
      </w:r>
    </w:p>
    <w:p>
      <w:pPr>
        <w:numPr>
          <w:ilvl w:val="0"/>
          <w:numId w:val="1032"/>
        </w:numPr>
        <w:pStyle w:val="Compact"/>
      </w:pPr>
      <w:r>
        <w:t xml:space="preserve">🚫 失效条件：高股息防御风格逆转、银行板块放量下跌或基本面出现未预期负面信息。</w:t>
      </w:r>
    </w:p>
    <w:p>
      <w:pPr>
        <w:numPr>
          <w:ilvl w:val="0"/>
          <w:numId w:val="1032"/>
        </w:numPr>
        <w:pStyle w:val="Compact"/>
      </w:pPr>
      <w:r>
        <w:t xml:space="preserve">⚠️ 风险：净息差、利率与资产质量变化，以及与农业银行合计持仓集中度较高。</w:t>
      </w:r>
    </w:p>
    <w:p>
      <w:pPr>
        <w:pStyle w:val="Heading3"/>
      </w:pPr>
      <w:bookmarkStart w:id="57" w:name="农业银行5300-股成本-6.4244-元"/>
      <w:r>
        <w:t xml:space="preserve">📈 601288 农业银行｜5300 股｜成本 6.4244 元</w:t>
      </w:r>
      <w:bookmarkEnd w:id="57"/>
    </w:p>
    <w:p>
      <w:pPr>
        <w:numPr>
          <w:ilvl w:val="0"/>
          <w:numId w:val="1033"/>
        </w:numPr>
        <w:pStyle w:val="Compact"/>
      </w:pPr>
      <w:r>
        <w:t xml:space="preserve">📊 补充查询最新价 6.89 元，跌 2.41%；静态盈亏 +7.25%，浮盈 2467.68 元，市值 36517.00 元。</w:t>
      </w:r>
    </w:p>
    <w:p>
      <w:pPr>
        <w:numPr>
          <w:ilvl w:val="0"/>
          <w:numId w:val="1033"/>
        </w:numPr>
        <w:pStyle w:val="Compact"/>
      </w:pPr>
      <w:r>
        <w:t xml:space="preserve">💡 今日动作：持有并分批保护利润。该股是组合最大市值持仓，优先控制集中度，不在下跌日无条件加仓。</w:t>
      </w:r>
    </w:p>
    <w:p>
      <w:pPr>
        <w:numPr>
          <w:ilvl w:val="0"/>
          <w:numId w:val="1033"/>
        </w:numPr>
        <w:pStyle w:val="Compact"/>
      </w:pPr>
      <w:r>
        <w:t xml:space="preserve">📉 减仓或离场触发：无法收复前收 7.06 元且跌势延续，可分批减仓；若有效跌破 6.35 元风险位，执行更严格的离场纪律。</w:t>
      </w:r>
    </w:p>
    <w:p>
      <w:pPr>
        <w:numPr>
          <w:ilvl w:val="0"/>
          <w:numId w:val="1033"/>
        </w:numPr>
        <w:pStyle w:val="Compact"/>
      </w:pPr>
      <w:r>
        <w:t xml:space="preserve">📈 条件加仓触发：银行板块整体止跌、个股重新站稳 7.06 元并有量价确认，同时先评估组合银行仓位占比；否则不加。</w:t>
      </w:r>
    </w:p>
    <w:p>
      <w:pPr>
        <w:numPr>
          <w:ilvl w:val="0"/>
          <w:numId w:val="1033"/>
        </w:numPr>
        <w:pStyle w:val="Compact"/>
      </w:pPr>
      <w:r>
        <w:t xml:space="preserve">🚫 失效条件：银行防御逻辑失效、板块资金持续撤离或出现基本面负面公告。</w:t>
      </w:r>
    </w:p>
    <w:p>
      <w:pPr>
        <w:numPr>
          <w:ilvl w:val="0"/>
          <w:numId w:val="1033"/>
        </w:numPr>
        <w:pStyle w:val="Compact"/>
      </w:pPr>
      <w:r>
        <w:t xml:space="preserve">⚠️ 风险：单一行业和单只股票集中度、利润回吐、利率及净息差压力。</w:t>
      </w:r>
    </w:p>
    <w:p>
      <w:pPr>
        <w:pStyle w:val="Heading3"/>
      </w:pPr>
      <w:bookmarkStart w:id="58" w:name="组合结论"/>
      <w:r>
        <w:t xml:space="preserve">📊 组合结论</w:t>
      </w:r>
      <w:bookmarkEnd w:id="58"/>
    </w:p>
    <w:p>
      <w:pPr>
        <w:numPr>
          <w:ilvl w:val="0"/>
          <w:numId w:val="1034"/>
        </w:numPr>
        <w:pStyle w:val="Compact"/>
      </w:pPr>
      <w:r>
        <w:t xml:space="preserve">四只持仓静态成本合计 64714.71 元，最新可得市值合计 64819.00 元，整体浮盈 104.29 元、收益率 +0.16%。</w:t>
      </w:r>
    </w:p>
    <w:p>
      <w:pPr>
        <w:numPr>
          <w:ilvl w:val="0"/>
          <w:numId w:val="1034"/>
        </w:numPr>
        <w:pStyle w:val="Compact"/>
      </w:pPr>
      <w:r>
        <w:t xml:space="preserve">⚠️ 最该减仓观察：弘元绿能，原因是亏损幅度最大且与今日待验证主线无共振；不能以等待回本替代风控。</w:t>
      </w:r>
    </w:p>
    <w:p>
      <w:pPr>
        <w:numPr>
          <w:ilvl w:val="0"/>
          <w:numId w:val="1034"/>
        </w:numPr>
        <w:pStyle w:val="Compact"/>
      </w:pPr>
      <w:r>
        <w:t xml:space="preserve">🛡️ 最稳健持有：工商银行，仍有 +14.73% 安全垫，但应保护利润。</w:t>
      </w:r>
    </w:p>
    <w:p>
      <w:pPr>
        <w:numPr>
          <w:ilvl w:val="0"/>
          <w:numId w:val="1034"/>
        </w:numPr>
        <w:pStyle w:val="Compact"/>
      </w:pPr>
      <w:r>
        <w:t xml:space="preserve">✅ 满足条件才可加仓：风语筑需数字文创板块与量价共振；弘元绿能需光伏板块资金和趋势共同确认；两只银行需板块止跌并控制组合集中度。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9" w:name="数据质量与风险声明"/>
      <w:r>
        <w:t xml:space="preserve">⚠️ 数据质量与风险声明</w:t>
      </w:r>
      <w:bookmarkEnd w:id="59"/>
    </w:p>
    <w:p>
      <w:pPr>
        <w:numPr>
          <w:ilvl w:val="0"/>
          <w:numId w:val="1035"/>
        </w:numPr>
        <w:pStyle w:val="Compact"/>
      </w:pPr>
      <w:r>
        <w:t xml:space="preserve">指数为新浪主源、东方财富与腾讯交叉验证，结果一致；市场宽度与全市场成交额均为同花顺单源，可正常使用但已标注单源。</w:t>
      </w:r>
    </w:p>
    <w:p>
      <w:pPr>
        <w:numPr>
          <w:ilvl w:val="0"/>
          <w:numId w:val="1035"/>
        </w:numPr>
        <w:pStyle w:val="Compact"/>
      </w:pPr>
      <w:r>
        <w:t xml:space="preserve">全市场成交额的比较口径为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，本报告只引用已确认的原始金额，不使用成交额变化百分比。</w:t>
      </w:r>
    </w:p>
    <w:p>
      <w:pPr>
        <w:numPr>
          <w:ilvl w:val="0"/>
          <w:numId w:val="1035"/>
        </w:numPr>
        <w:pStyle w:val="Compact"/>
      </w:pPr>
      <w:r>
        <w:t xml:space="preserve">资金流入 TOP10、资金流出 TOP10、板块表现、活跃个股、涨跌停样本、公告和核心个股多源校验均不可用；报告未以推测数据补齐。</w:t>
      </w:r>
    </w:p>
    <w:p>
      <w:pPr>
        <w:numPr>
          <w:ilvl w:val="0"/>
          <w:numId w:val="1035"/>
        </w:numPr>
        <w:pStyle w:val="Compact"/>
      </w:pPr>
      <w:r>
        <w:t xml:space="preserve">华泰</w:t>
      </w:r>
      <w:r>
        <w:t xml:space="preserve"> </w:t>
      </w:r>
      <w:r>
        <w:rPr>
          <w:rStyle w:val="VerbatimChar"/>
        </w:rPr>
        <w:t xml:space="preserve">query_indicator</w:t>
      </w:r>
      <w:r>
        <w:t xml:space="preserve">、</w:t>
      </w:r>
      <w:r>
        <w:rPr>
          <w:rStyle w:val="VerbatimChar"/>
        </w:rPr>
        <w:t xml:space="preserve">market_insight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仅作补充线索，未覆盖本地结构化事实；涉及候选股时已明确单源和待验证状态。</w:t>
      </w:r>
    </w:p>
    <w:p>
      <w:pPr>
        <w:numPr>
          <w:ilvl w:val="0"/>
          <w:numId w:val="1035"/>
        </w:numPr>
        <w:pStyle w:val="Compact"/>
      </w:pPr>
      <w:r>
        <w:t xml:space="preserve">本报告为盘前策略研究，不构成收益承诺或无条件交易指令。</w:t>
      </w:r>
    </w:p>
    <w:p>
      <w:pPr>
        <w:pStyle w:val="BlockText"/>
      </w:pPr>
      <w:r>
        <w:t xml:space="preserve">📊 生成时间：2026-09-04 08:30（北京时间，Asia/Shanghai）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2026-09-04T00:36:49Z</dcterms:created>
  <dcterms:modified xsi:type="dcterms:W3CDTF">2026-09-04T00:36:49Z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