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午盘总结-2026-09-04周五"/>
      <w:r>
        <w:t xml:space="preserve">🕐 午盘总结 | 2026-09-04（周五）</w:t>
      </w:r>
      <w:bookmarkEnd w:id="20"/>
    </w:p>
    <w:p>
      <w:pPr>
        <w:pStyle w:val="BlockText"/>
      </w:pPr>
      <w:r>
        <w:t xml:space="preserve">数据基准：指数行情截至 11:35 左右，同花顺涨跌分布截至 11:44:46，采集任务生成于 11:45:02。关键数据源覆盖率 3/7（42.86%）；资金流、板块表现、活跃个股、涨跌停样本及核心个股多源校验均未取得结构化数据，相关章节严格降级为</w:t>
      </w:r>
      <w:r>
        <w:t xml:space="preserve">“</w:t>
      </w:r>
      <w:r>
        <w:t xml:space="preserve">未核验</w:t>
      </w:r>
      <w:r>
        <w:t xml:space="preserve">”</w:t>
      </w:r>
      <w:r>
        <w:t xml:space="preserve">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上午行情概览"/>
      <w:r>
        <w:t xml:space="preserve">📊 上午行情概览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指数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right"/>
            </w:pPr>
            <w:r>
              <w:t xml:space="preserve">点位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right"/>
            </w:pPr>
            <w:r>
              <w:t xml:space="preserve">涨跌幅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上证指数</w:t>
            </w:r>
          </w:p>
        </w:tc>
        <w:tc>
          <w:p>
            <w:pPr>
              <w:pStyle w:val="Compact"/>
              <w:jc w:val="right"/>
            </w:pPr>
            <w:r>
              <w:t xml:space="preserve">3955.851</w:t>
            </w:r>
          </w:p>
        </w:tc>
        <w:tc>
          <w:p>
            <w:pPr>
              <w:pStyle w:val="Compact"/>
              <w:jc w:val="right"/>
            </w:pPr>
            <w:r>
              <w:t xml:space="preserve">📈 +0.3491%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深证成指</w:t>
            </w:r>
          </w:p>
        </w:tc>
        <w:tc>
          <w:p>
            <w:pPr>
              <w:pStyle w:val="Compact"/>
              <w:jc w:val="right"/>
            </w:pPr>
            <w:r>
              <w:t xml:space="preserve">13661.39</w:t>
            </w:r>
          </w:p>
        </w:tc>
        <w:tc>
          <w:p>
            <w:pPr>
              <w:pStyle w:val="Compact"/>
              <w:jc w:val="right"/>
            </w:pPr>
            <w:r>
              <w:t xml:space="preserve">📈 +0.2662%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创业板指</w:t>
            </w:r>
          </w:p>
        </w:tc>
        <w:tc>
          <w:p>
            <w:pPr>
              <w:pStyle w:val="Compact"/>
              <w:jc w:val="right"/>
            </w:pPr>
            <w:r>
              <w:t xml:space="preserve">3326.68</w:t>
            </w:r>
          </w:p>
        </w:tc>
        <w:tc>
          <w:p>
            <w:pPr>
              <w:pStyle w:val="Compact"/>
              <w:jc w:val="right"/>
            </w:pPr>
            <w:r>
              <w:t xml:space="preserve">📈 +0.4268%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科创50</w:t>
            </w:r>
          </w:p>
        </w:tc>
        <w:tc>
          <w:p>
            <w:pPr>
              <w:pStyle w:val="Compact"/>
              <w:jc w:val="right"/>
            </w:pPr>
            <w:r>
              <w:t xml:space="preserve">1599.9153</w:t>
            </w:r>
          </w:p>
        </w:tc>
        <w:tc>
          <w:p>
            <w:pPr>
              <w:pStyle w:val="Compact"/>
              <w:jc w:val="right"/>
            </w:pPr>
            <w:r>
              <w:t xml:space="preserve">📉 -0.6982%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沪深300</w:t>
            </w:r>
          </w:p>
        </w:tc>
        <w:tc>
          <w:p>
            <w:pPr>
              <w:pStyle w:val="Compact"/>
              <w:jc w:val="right"/>
            </w:pPr>
            <w:r>
              <w:t xml:space="preserve">4572.2788</w:t>
            </w:r>
          </w:p>
        </w:tc>
        <w:tc>
          <w:p>
            <w:pPr>
              <w:pStyle w:val="Compact"/>
              <w:jc w:val="right"/>
            </w:pPr>
            <w:r>
              <w:t xml:space="preserve">📈 +0.4327%</w:t>
            </w:r>
          </w:p>
        </w:tc>
      </w:tr>
    </w:tbl>
    <w:p>
      <w:pPr>
        <w:numPr>
          <w:ilvl w:val="0"/>
          <w:numId w:val="1001"/>
        </w:numPr>
        <w:pStyle w:val="Compact"/>
      </w:pPr>
      <w:r>
        <w:t xml:space="preserve">📊 指数数据由新浪主源提供，东方财富、腾讯交叉验证一致；三大指数均上涨，但科创50逆势下跌，说明普涨之下仍有明显风格分化。</w:t>
      </w:r>
    </w:p>
    <w:p>
      <w:pPr>
        <w:numPr>
          <w:ilvl w:val="0"/>
          <w:numId w:val="1001"/>
        </w:numPr>
        <w:pStyle w:val="Compact"/>
      </w:pPr>
      <w:r>
        <w:t xml:space="preserve">💰 同花顺单源确认全市场上午累计成交额 12471.52 亿元；</w:t>
      </w:r>
      <w:r>
        <w:rPr>
          <w:rStyle w:val="VerbatimChar"/>
        </w:rPr>
        <w:t xml:space="preserve">turnover_comparison_scope=unverified</w:t>
      </w:r>
      <w:r>
        <w:t xml:space="preserve">，因此不引用</w:t>
      </w:r>
      <w:r>
        <w:t xml:space="preserve">“</w:t>
      </w:r>
      <w:r>
        <w:t xml:space="preserve">较昨日同期</w:t>
      </w:r>
      <w:r>
        <w:t xml:space="preserve">”</w:t>
      </w:r>
      <w:r>
        <w:t xml:space="preserve">变化百分比，也不把 17802.38 亿元直接当作昨日同期值比较。</w:t>
      </w:r>
    </w:p>
    <w:p>
      <w:pPr>
        <w:numPr>
          <w:ilvl w:val="0"/>
          <w:numId w:val="1001"/>
        </w:numPr>
        <w:pStyle w:val="Compact"/>
      </w:pPr>
      <w:r>
        <w:t xml:space="preserve">📈 同花顺单源显示上涨 4135 家、下跌 1315 家、平盘 98 家、停牌 8 家；涨停 45 家、跌停 2 家，上午赚钱效应偏强。</w:t>
      </w:r>
    </w:p>
    <w:p>
      <w:pPr>
        <w:numPr>
          <w:ilvl w:val="0"/>
          <w:numId w:val="1001"/>
        </w:numPr>
        <w:pStyle w:val="Compact"/>
      </w:pPr>
      <w:r>
        <w:t xml:space="preserve">🎭 一句话特征：指数冲高后涨幅收窄，但个股普涨；科创50偏弱，风险偏好改善并不等于所有科技方向同步走强。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领涨板块-top10-与龙头股"/>
      <w:r>
        <w:t xml:space="preserve">🔥 领涨板块 TOP10 与龙头股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⚠️ 领涨板块 TOP10：未核验。</w:t>
      </w:r>
      <w:r>
        <w:rPr>
          <w:rStyle w:val="VerbatimChar"/>
        </w:rPr>
        <w:t xml:space="preserve">sector_performance.ok=false</w:t>
      </w:r>
      <w:r>
        <w:t xml:space="preserve">，东方财富接口返回 HTTP 502，禁止用华泰文本列举的题材替代真实 TOP10 排名。</w:t>
      </w:r>
    </w:p>
    <w:p>
      <w:pPr>
        <w:numPr>
          <w:ilvl w:val="0"/>
          <w:numId w:val="1002"/>
        </w:numPr>
        <w:pStyle w:val="Compact"/>
      </w:pPr>
      <w:r>
        <w:t xml:space="preserve">⚠️ 龙头股榜单：未核验。</w:t>
      </w:r>
      <w:r>
        <w:rPr>
          <w:rStyle w:val="VerbatimChar"/>
        </w:rPr>
        <w:t xml:space="preserve">active_stocks.ok=false</w:t>
      </w:r>
      <w:r>
        <w:t xml:space="preserve">、</w:t>
      </w:r>
      <w:r>
        <w:rPr>
          <w:rStyle w:val="VerbatimChar"/>
        </w:rPr>
        <w:t xml:space="preserve">limit_stocks.ok=false</w:t>
      </w:r>
      <w:r>
        <w:t xml:space="preserve">、</w:t>
      </w:r>
      <w:r>
        <w:rPr>
          <w:rStyle w:val="VerbatimChar"/>
        </w:rPr>
        <w:t xml:space="preserve">stock_quote_cross_checks.ok=false</w:t>
      </w:r>
      <w:r>
        <w:t xml:space="preserve">，无法确认个股涨幅排行、成交额、封板状态及多源一致性。</w:t>
      </w:r>
    </w:p>
    <w:p>
      <w:pPr>
        <w:numPr>
          <w:ilvl w:val="0"/>
          <w:numId w:val="1002"/>
        </w:numPr>
        <w:pStyle w:val="Compact"/>
      </w:pPr>
      <w:r>
        <w:t xml:space="preserve">🔎 华泰补充文本把 AI 应用、数字货币/跨境支付、养殖饲料列为上午活跃线索，并提到房地产、券商等修复方向；这些仅是华泰单一补充来源，不构成结构化板块排名或可直接追涨依据。</w:t>
      </w:r>
    </w:p>
    <w:p>
      <w:pPr>
        <w:numPr>
          <w:ilvl w:val="0"/>
          <w:numId w:val="1002"/>
        </w:numPr>
        <w:pStyle w:val="Compact"/>
      </w:pPr>
      <w:r>
        <w:t xml:space="preserve">💡 午后观察重点：上述线索只有在板块成交扩张、核心股承接稳定且资金榜单恢复后，才可由</w:t>
      </w:r>
      <w:r>
        <w:t xml:space="preserve">“</w:t>
      </w:r>
      <w:r>
        <w:t xml:space="preserve">文本线索</w:t>
      </w:r>
      <w:r>
        <w:t xml:space="preserve">”</w:t>
      </w:r>
      <w:r>
        <w:t xml:space="preserve">升级为交易方向。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资金流向"/>
      <w:r>
        <w:t xml:space="preserve">💰 资金流向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💰 主力净流入 TOP10：未核验。</w:t>
      </w:r>
      <w:r>
        <w:rPr>
          <w:rStyle w:val="VerbatimChar"/>
        </w:rPr>
        <w:t xml:space="preserve">money_flow.ok=false</w:t>
      </w:r>
      <w:r>
        <w:t xml:space="preserve">，采集 JSON 没有任何真实 TOP10 项目或金额，禁止自行补齐。</w:t>
      </w:r>
    </w:p>
    <w:p>
      <w:pPr>
        <w:numPr>
          <w:ilvl w:val="0"/>
          <w:numId w:val="1003"/>
        </w:numPr>
        <w:pStyle w:val="Compact"/>
      </w:pPr>
      <w:r>
        <w:t xml:space="preserve">⚠️ 主力净流出 TOP10：未核验。</w:t>
      </w:r>
      <w:r>
        <w:rPr>
          <w:rStyle w:val="VerbatimChar"/>
        </w:rPr>
        <w:t xml:space="preserve">money_flow.ok=false</w:t>
      </w:r>
      <w:r>
        <w:t xml:space="preserve">，采集 JSON 没有任何真实 TOP10 项目或金额，禁止用华泰文本中的概括金额替代榜单。</w:t>
      </w:r>
    </w:p>
    <w:p>
      <w:pPr>
        <w:numPr>
          <w:ilvl w:val="0"/>
          <w:numId w:val="1003"/>
        </w:numPr>
        <w:pStyle w:val="Compact"/>
      </w:pPr>
      <w:r>
        <w:t xml:space="preserve">📉 风险信号：板块资金主攻与撤退方向缺少结构化确认，午后策略必须降低方向判断置信度；不能把 4135 家上涨简单等同于增量资金持续流入。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资金流出预警"/>
      <w:r>
        <w:t xml:space="preserve">⚠️ 资金流出预警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⚠️ 华泰补充文本认为电子/半导体、煤炭、有色金属承压，但本地资金流和板块涨跌榜均采集失败，上述方向只能列为待核验预警。</w:t>
      </w:r>
    </w:p>
    <w:p>
      <w:pPr>
        <w:numPr>
          <w:ilvl w:val="0"/>
          <w:numId w:val="1004"/>
        </w:numPr>
        <w:pStyle w:val="Compact"/>
      </w:pPr>
      <w:r>
        <w:t xml:space="preserve">📉 科创50下跌 0.6982%，与三大指数上涨形成背离，为硬科技分化提供了指数层面的确认；但无法进一步定位具体流出行业和金额。</w:t>
      </w:r>
    </w:p>
    <w:p>
      <w:pPr>
        <w:numPr>
          <w:ilvl w:val="0"/>
          <w:numId w:val="1004"/>
        </w:numPr>
        <w:pStyle w:val="Compact"/>
      </w:pPr>
      <w:r>
        <w:t xml:space="preserve">🚫 午后若科创50继续弱于大盘，且相关高位个股冲高回落，应回避无资金确认的半导体、光模块等高波动追涨；若科创50收复上午跌幅，则撤销</w:t>
      </w:r>
      <w:r>
        <w:t xml:space="preserve">“</w:t>
      </w:r>
      <w:r>
        <w:t xml:space="preserve">全面退潮</w:t>
      </w:r>
      <w:r>
        <w:t xml:space="preserve">”</w:t>
      </w:r>
      <w:r>
        <w:t xml:space="preserve">推断，重新观察内部结构。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盘前预判-vs-上午实盘"/>
      <w:r>
        <w:t xml:space="preserve">🎯 盘前预判 vs 上午实盘</w:t>
      </w:r>
      <w:bookmarkEnd w:id="25"/>
    </w:p>
    <w:p>
      <w:pPr>
        <w:pStyle w:val="Heading3"/>
      </w:pPr>
      <w:bookmarkStart w:id="26" w:name="命中点"/>
      <w:r>
        <w:t xml:space="preserve">✅ 命中点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📊 盘前要求等待量价确认而非高开追涨；上午主要指数确有冲高回落特征，追高风险客观存在。</w:t>
      </w:r>
    </w:p>
    <w:p>
      <w:pPr>
        <w:numPr>
          <w:ilvl w:val="0"/>
          <w:numId w:val="1005"/>
        </w:numPr>
        <w:pStyle w:val="Compact"/>
      </w:pPr>
      <w:r>
        <w:t xml:space="preserve">🛡️ 盘前保留银行防御观察。工商银行午间报 8.16 元、涨 0.74%，显示高股息底仓仍有稳定作用，但并不足以证明整个银行板块领涨。</w:t>
      </w:r>
    </w:p>
    <w:p>
      <w:pPr>
        <w:numPr>
          <w:ilvl w:val="0"/>
          <w:numId w:val="1005"/>
        </w:numPr>
        <w:pStyle w:val="Compact"/>
      </w:pPr>
      <w:r>
        <w:t xml:space="preserve">⚠️ 盘前强调资金流与板块源缺失时降低置信度；午盘这些关键源仍失败，条件式决策继续有效。</w:t>
      </w:r>
    </w:p>
    <w:p>
      <w:pPr>
        <w:pStyle w:val="Heading3"/>
      </w:pPr>
      <w:bookmarkStart w:id="27" w:name="偏差点"/>
      <w:r>
        <w:t xml:space="preserve">❌ 偏差点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📈 盘前模型为</w:t>
      </w:r>
      <w:r>
        <w:t xml:space="preserve">“</w:t>
      </w:r>
      <w:r>
        <w:t xml:space="preserve">偏弱/防御</w:t>
      </w:r>
      <w:r>
        <w:t xml:space="preserve">”</w:t>
      </w:r>
      <w:r>
        <w:t xml:space="preserve">、均衡仓位 25%；上午涨跌家数改善至 4135:1315，当前派生风格已转为</w:t>
      </w:r>
      <w:r>
        <w:t xml:space="preserve">“</w:t>
      </w:r>
      <w:r>
        <w:t xml:space="preserve">偏强/风险偏好较高</w:t>
      </w:r>
      <w:r>
        <w:t xml:space="preserve">”</w:t>
      </w:r>
      <w:r>
        <w:t xml:space="preserve">，风险偏好改善幅度超出盘前预案。</w:t>
      </w:r>
    </w:p>
    <w:p>
      <w:pPr>
        <w:numPr>
          <w:ilvl w:val="0"/>
          <w:numId w:val="1006"/>
        </w:numPr>
        <w:pStyle w:val="Compact"/>
      </w:pPr>
      <w:r>
        <w:t xml:space="preserve">🔥 盘前观察液冷、贵金属和银行；华泰午间文本转而指向 AI 应用、数字货币/跨境支付、养殖饲料等线索。由于板块和资金榜缺失，不能确认这些线索已成为真实主线。</w:t>
      </w:r>
    </w:p>
    <w:p>
      <w:pPr>
        <w:numPr>
          <w:ilvl w:val="0"/>
          <w:numId w:val="1006"/>
        </w:numPr>
        <w:pStyle w:val="Compact"/>
      </w:pPr>
      <w:r>
        <w:t xml:space="preserve">💰 上午累计成交额 12471.52 亿元显示交易活跃，但比较口径未核验，不能据此宣称</w:t>
      </w:r>
      <w:r>
        <w:t xml:space="preserve">“</w:t>
      </w:r>
      <w:r>
        <w:t xml:space="preserve">较昨日同期放量多少</w:t>
      </w:r>
      <w:r>
        <w:t xml:space="preserve">”</w:t>
      </w:r>
      <w:r>
        <w:t xml:space="preserve">或计算增幅。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华泰自选股观察"/>
      <w:r>
        <w:t xml:space="preserve">🧾 华泰自选股观察</w:t>
      </w:r>
      <w:bookmarkEnd w:id="28"/>
    </w:p>
    <w:p>
      <w:pPr>
        <w:pStyle w:val="FirstParagraph"/>
      </w:pPr>
      <w:r>
        <w:t xml:space="preserve">华泰自选股 3 只均取得午间行情。风语筑表现最强，工商银行次之，弘元绿能小幅上涨；三者分属数字文创、国有大行、光伏制造。仅风语筑与华泰文本中的 AI 应用/数字内容线索存在一定主题联系，其余以跟踪为主、暂不作为主攻方向。</w:t>
      </w:r>
    </w:p>
    <w:p>
      <w:pPr>
        <w:numPr>
          <w:ilvl w:val="0"/>
          <w:numId w:val="1007"/>
        </w:numPr>
        <w:pStyle w:val="Compact"/>
      </w:pPr>
      <w:r>
        <w:t xml:space="preserve">📈 603185 弘元绿能：最新价 14.96 元，涨 0.88%，买一 14.96 元、卖一 14.97 元。所属光伏硅片/新能源制造；采集数据未显示光伏进入当日主线，也无板块资金与活跃榜验证。判断：继续观察、偏弱处理，不追高；只有光伏板块放量并出现可核验净流入时才可低吸跟踪。</w:t>
      </w:r>
    </w:p>
    <w:p>
      <w:pPr>
        <w:numPr>
          <w:ilvl w:val="0"/>
          <w:numId w:val="1007"/>
        </w:numPr>
        <w:pStyle w:val="Compact"/>
      </w:pPr>
      <w:r>
        <w:t xml:space="preserve">📈 603466 风语筑：最新价 12.34 元，涨 2.07%，买一 12.34 元、卖一 12.35 元。所属数字文创、展览展示和文化科技，与华泰文本提到的 AI 应用方向有一定共振，但无本地板块榜和个股多源校验。判断：三只中相对偏强，可继续观察；午后若放量承接可跟踪，冲高回落则不追高。</w:t>
      </w:r>
    </w:p>
    <w:p>
      <w:pPr>
        <w:numPr>
          <w:ilvl w:val="0"/>
          <w:numId w:val="1007"/>
        </w:numPr>
        <w:pStyle w:val="Compact"/>
      </w:pPr>
      <w:r>
        <w:t xml:space="preserve">📈 601398 工商银行：最新价 8.16 元，涨 0.74%，买一 8.15 元、卖一 8.16 元。所属国有大行、高股息防御，与普涨环境的弹性主线共振有限。判断：偏稳健持有，以跟踪为主、暂不作为主攻方向；不因上午上涨追加集中度。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下午投资方向分层"/>
      <w:r>
        <w:t xml:space="preserve">🎯 下午投资方向分层</w:t>
      </w:r>
      <w:bookmarkEnd w:id="29"/>
    </w:p>
    <w:p>
      <w:pPr>
        <w:pStyle w:val="Heading3"/>
      </w:pPr>
      <w:bookmarkStart w:id="30" w:name="方向一ai-应用数字内容营销软件可条件参与优先级中"/>
      <w:r>
        <w:t xml:space="preserve">🚀 方向一：AI 应用—数字内容/营销软件（可条件参与，优先级：中）</w:t>
      </w:r>
      <w:bookmarkEnd w:id="30"/>
    </w:p>
    <w:p>
      <w:pPr>
        <w:numPr>
          <w:ilvl w:val="0"/>
          <w:numId w:val="1008"/>
        </w:numPr>
        <w:pStyle w:val="Compact"/>
      </w:pPr>
      <w:r>
        <w:t xml:space="preserve">📌 证据链：三大指数上涨且 4135 家个股上涨，市场风险偏好改善；华泰</w:t>
      </w:r>
      <w:r>
        <w:t xml:space="preserve"> </w:t>
      </w:r>
      <w:r>
        <w:rPr>
          <w:rStyle w:val="VerbatimChar"/>
        </w:rPr>
        <w:t xml:space="preserve">query_indicator</w:t>
      </w:r>
      <w:r>
        <w:t xml:space="preserve"> </w:t>
      </w:r>
      <w:r>
        <w:t xml:space="preserve">与</w:t>
      </w:r>
      <w:r>
        <w:t xml:space="preserve"> </w:t>
      </w:r>
      <w:r>
        <w:rPr>
          <w:rStyle w:val="VerbatimChar"/>
        </w:rPr>
        <w:t xml:space="preserve">market_insight</w:t>
      </w:r>
      <w:r>
        <w:t xml:space="preserve"> </w:t>
      </w:r>
      <w:r>
        <w:t xml:space="preserve">均把 AI 应用列为活跃线索；自选股风语筑上涨 2.07%，提供单只数字文创样本。资金流、板块涨幅、成交额核心和涨停扩散均未核验，证据链不完整。</w:t>
      </w:r>
    </w:p>
    <w:p>
      <w:pPr>
        <w:numPr>
          <w:ilvl w:val="0"/>
          <w:numId w:val="1008"/>
        </w:numPr>
        <w:pStyle w:val="Compact"/>
      </w:pPr>
      <w:r>
        <w:t xml:space="preserve">🔥 核心标的：风语筑（自选股中表现最强、数字文创样本）；华泰文本提及的新炬网络、龙版传媒、英方软件仅作单源线索，不引用其连板或精确涨幅作为确定事实。</w:t>
      </w:r>
    </w:p>
    <w:p>
      <w:pPr>
        <w:numPr>
          <w:ilvl w:val="0"/>
          <w:numId w:val="1008"/>
        </w:numPr>
        <w:pStyle w:val="Compact"/>
      </w:pPr>
      <w:r>
        <w:t xml:space="preserve">💡 参与策略：激进仓可在午后板块回踩承接、核心股不炸板的前提下小仓试错；稳健仓等待资金流和板块榜恢复；保守仓不参与。</w:t>
      </w:r>
    </w:p>
    <w:p>
      <w:pPr>
        <w:numPr>
          <w:ilvl w:val="0"/>
          <w:numId w:val="1008"/>
        </w:numPr>
        <w:pStyle w:val="Compact"/>
      </w:pPr>
      <w:r>
        <w:t xml:space="preserve">✅ 触发条件：板块强度延续、至少两只核心样本同步走强、指数不再冲高回落，并取得可核验资金或成交证据。</w:t>
      </w:r>
    </w:p>
    <w:p>
      <w:pPr>
        <w:numPr>
          <w:ilvl w:val="0"/>
          <w:numId w:val="1008"/>
        </w:numPr>
        <w:pStyle w:val="Compact"/>
      </w:pPr>
      <w:r>
        <w:t xml:space="preserve">🚫 失效条件：风语筑等样本跌破上午关键承接区、题材快速缩容，或科创/成长风格继续走弱。</w:t>
      </w:r>
    </w:p>
    <w:p>
      <w:pPr>
        <w:numPr>
          <w:ilvl w:val="0"/>
          <w:numId w:val="1008"/>
        </w:numPr>
        <w:pStyle w:val="Compact"/>
      </w:pPr>
      <w:r>
        <w:t xml:space="preserve">⚠️ 风险：当前主线判断主要来自华泰文本，缺少本地结构化资金与板块交叉验证，追高和事件落空风险较高。</w:t>
      </w:r>
    </w:p>
    <w:p>
      <w:pPr>
        <w:pStyle w:val="Heading3"/>
      </w:pPr>
      <w:bookmarkStart w:id="31" w:name="方向二农业养殖饲料动物保健只观察优先级观察"/>
      <w:r>
        <w:t xml:space="preserve">🚀 方向二：农业—养殖/饲料/动物保健（只观察，优先级：观察）</w:t>
      </w:r>
      <w:bookmarkEnd w:id="31"/>
    </w:p>
    <w:p>
      <w:pPr>
        <w:numPr>
          <w:ilvl w:val="0"/>
          <w:numId w:val="1009"/>
        </w:numPr>
        <w:pStyle w:val="Compact"/>
      </w:pPr>
      <w:r>
        <w:t xml:space="preserve">📌 证据链：华泰两项文本均将养殖、饲料或动物保健列为强势线索；全市场 4135 家上涨提供情绪环境；但板块涨幅、净流入、成交额和涨停样本全部缺失，无法满足三类结构化证据要求。</w:t>
      </w:r>
    </w:p>
    <w:p>
      <w:pPr>
        <w:numPr>
          <w:ilvl w:val="0"/>
          <w:numId w:val="1009"/>
        </w:numPr>
        <w:pStyle w:val="Compact"/>
      </w:pPr>
      <w:r>
        <w:t xml:space="preserve">🔥 核心标的：华泰文本提及的敦煌种业、亚盛集团、天邦食品、邦基科技仅列入观察池，其涨停或连板描述未获本地结构化校验。</w:t>
      </w:r>
    </w:p>
    <w:p>
      <w:pPr>
        <w:numPr>
          <w:ilvl w:val="0"/>
          <w:numId w:val="1009"/>
        </w:numPr>
        <w:pStyle w:val="Compact"/>
      </w:pPr>
      <w:r>
        <w:t xml:space="preserve">💡 参与策略：激进、稳健、保守三类账户午后均以观察为主，不因单源文本追涨。</w:t>
      </w:r>
    </w:p>
    <w:p>
      <w:pPr>
        <w:numPr>
          <w:ilvl w:val="0"/>
          <w:numId w:val="1009"/>
        </w:numPr>
        <w:pStyle w:val="Compact"/>
      </w:pPr>
      <w:r>
        <w:t xml:space="preserve">✅ 触发条件：板块榜恢复后仍居前、资金净流入得到确认、核心股分歧后有承接。</w:t>
      </w:r>
    </w:p>
    <w:p>
      <w:pPr>
        <w:numPr>
          <w:ilvl w:val="0"/>
          <w:numId w:val="1009"/>
        </w:numPr>
        <w:pStyle w:val="Compact"/>
      </w:pPr>
      <w:r>
        <w:t xml:space="preserve">🚫 失效条件：板块冲高回落、核心样本开板后无回封，或资金榜显示净流出。</w:t>
      </w:r>
    </w:p>
    <w:p>
      <w:pPr>
        <w:numPr>
          <w:ilvl w:val="0"/>
          <w:numId w:val="1009"/>
        </w:numPr>
        <w:pStyle w:val="Compact"/>
      </w:pPr>
      <w:r>
        <w:t xml:space="preserve">⚠️ 风险：低位轮动持续性不明、商品价格与基本面催化未核验、资金撤离时易快速回吐。</w:t>
      </w:r>
    </w:p>
    <w:p>
      <w:pPr>
        <w:pStyle w:val="Heading3"/>
      </w:pPr>
      <w:bookmarkStart w:id="32" w:name="方向三国有大行高股息防御可持有不追高优先级中低"/>
      <w:r>
        <w:t xml:space="preserve">🛡️ 方向三：国有大行—高股息防御（可持有，不追高，优先级：中低）</w:t>
      </w:r>
      <w:bookmarkEnd w:id="32"/>
    </w:p>
    <w:p>
      <w:pPr>
        <w:numPr>
          <w:ilvl w:val="0"/>
          <w:numId w:val="1010"/>
        </w:numPr>
        <w:pStyle w:val="Compact"/>
      </w:pPr>
      <w:r>
        <w:t xml:space="preserve">📌 证据链：沪深300上涨 0.4327%；工商银行午间上涨 0.74%；盘前防御底仓逻辑获得个股表现支持。但银行板块排名、板块资金及农业银行实时行情均未进入本次采集，不能确认板块性共振。</w:t>
      </w:r>
    </w:p>
    <w:p>
      <w:pPr>
        <w:numPr>
          <w:ilvl w:val="0"/>
          <w:numId w:val="1010"/>
        </w:numPr>
        <w:pStyle w:val="Compact"/>
      </w:pPr>
      <w:r>
        <w:t xml:space="preserve">🔥 核心标的：工商银行（8.16 元、涨 0.74%，现有自选股行情可确认）；农业银行因午间行情缺失，仅作为原有持仓观察，不写具体价格判断。</w:t>
      </w:r>
    </w:p>
    <w:p>
      <w:pPr>
        <w:numPr>
          <w:ilvl w:val="0"/>
          <w:numId w:val="1010"/>
        </w:numPr>
        <w:pStyle w:val="Compact"/>
      </w:pPr>
      <w:r>
        <w:t xml:space="preserve">💡 参与策略：激进账户不把银行作为短线主攻；稳健账户保留底仓；保守账户以利润保护为主，不继续提高银行集中度。</w:t>
      </w:r>
    </w:p>
    <w:p>
      <w:pPr>
        <w:numPr>
          <w:ilvl w:val="0"/>
          <w:numId w:val="1010"/>
        </w:numPr>
        <w:pStyle w:val="Compact"/>
      </w:pPr>
      <w:r>
        <w:t xml:space="preserve">✅ 触发条件：银行板块获得可核验净流入，工商银行维持强于大盘且回踩有承接。</w:t>
      </w:r>
    </w:p>
    <w:p>
      <w:pPr>
        <w:numPr>
          <w:ilvl w:val="0"/>
          <w:numId w:val="1010"/>
        </w:numPr>
        <w:pStyle w:val="Compact"/>
      </w:pPr>
      <w:r>
        <w:t xml:space="preserve">🚫 失效条件：工商银行跌回前收 8.10 元下方后持续走弱，或银行板块出现放量下跌。</w:t>
      </w:r>
    </w:p>
    <w:p>
      <w:pPr>
        <w:numPr>
          <w:ilvl w:val="0"/>
          <w:numId w:val="1010"/>
        </w:numPr>
        <w:pStyle w:val="Compact"/>
      </w:pPr>
      <w:r>
        <w:t xml:space="preserve">⚠️ 风险：高股息交易拥挤、净息差压力以及组合行业集中度。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3" w:name="下午盘操作建议"/>
      <w:r>
        <w:t xml:space="preserve">🎯 下午盘操作建议</w:t>
      </w:r>
      <w:bookmarkEnd w:id="33"/>
    </w:p>
    <w:p>
      <w:pPr>
        <w:numPr>
          <w:ilvl w:val="0"/>
          <w:numId w:val="1011"/>
        </w:numPr>
        <w:pStyle w:val="Compact"/>
      </w:pPr>
      <w:r>
        <w:t xml:space="preserve">🎭 市场判断：偏强震荡。赚钱效应明显改善，但三大指数冲高后涨幅收窄、科创50逆势下跌，午后不宜按单边普涨处理。</w:t>
      </w:r>
    </w:p>
    <w:p>
      <w:pPr>
        <w:numPr>
          <w:ilvl w:val="0"/>
          <w:numId w:val="1011"/>
        </w:numPr>
        <w:pStyle w:val="Compact"/>
      </w:pPr>
      <w:r>
        <w:t xml:space="preserve">💡 激进账户：参考派生模型仓位 80%，但因关键源覆盖率仅 42.86%，实际建议上限下调至 60%；只参与得到午后量价确认的 AI 应用细分，单一方向不重仓。</w:t>
      </w:r>
    </w:p>
    <w:p>
      <w:pPr>
        <w:numPr>
          <w:ilvl w:val="0"/>
          <w:numId w:val="1011"/>
        </w:numPr>
        <w:pStyle w:val="Compact"/>
      </w:pPr>
      <w:r>
        <w:t xml:space="preserve">💡 稳健账户：参考派生模型 65%，实际控制在 50%；保留工商银行等低波动底仓，新增仓等待板块资金与活跃股数据恢复。</w:t>
      </w:r>
    </w:p>
    <w:p>
      <w:pPr>
        <w:numPr>
          <w:ilvl w:val="0"/>
          <w:numId w:val="1011"/>
        </w:numPr>
        <w:pStyle w:val="Compact"/>
      </w:pPr>
      <w:r>
        <w:t xml:space="preserve">💡 保守账户：参考派生模型 50%，实际控制在 30%；不追高，只在指数回踩稳定、板块出现资金确认后分批参与。</w:t>
      </w:r>
    </w:p>
    <w:p>
      <w:pPr>
        <w:numPr>
          <w:ilvl w:val="0"/>
          <w:numId w:val="1011"/>
        </w:numPr>
        <w:pStyle w:val="Compact"/>
      </w:pPr>
      <w:r>
        <w:t xml:space="preserve">🔥 可继续关注：AI 应用—数字内容/营销软件，前提是板块承接和资金验证补齐。</w:t>
      </w:r>
    </w:p>
    <w:p>
      <w:pPr>
        <w:numPr>
          <w:ilvl w:val="0"/>
          <w:numId w:val="1011"/>
        </w:numPr>
        <w:pStyle w:val="Compact"/>
      </w:pPr>
      <w:r>
        <w:t xml:space="preserve">👀 只观察：养殖/饲料/动物保健、数字货币/跨境支付；目前主要为华泰单源文本线索。</w:t>
      </w:r>
    </w:p>
    <w:p>
      <w:pPr>
        <w:numPr>
          <w:ilvl w:val="0"/>
          <w:numId w:val="1011"/>
        </w:numPr>
        <w:pStyle w:val="Compact"/>
      </w:pPr>
      <w:r>
        <w:t xml:space="preserve">🚫 应回避：科创硬件方向无承接的高位追涨，以及任何缺少资金、成交和涨停扩散确认的脉冲题材。</w:t>
      </w:r>
    </w:p>
    <w:p>
      <w:pPr>
        <w:numPr>
          <w:ilvl w:val="0"/>
          <w:numId w:val="1011"/>
        </w:numPr>
        <w:pStyle w:val="Compact"/>
      </w:pPr>
      <w:r>
        <w:t xml:space="preserve">⚠️ 午后风控：上证指数若跌回 3942.0879 前收附近且上涨家数显著收缩，应主动降低题材仓；科创50若持续弱势，减少硬科技高波动暴露。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4" w:name="数据质量与风险声明"/>
      <w:r>
        <w:t xml:space="preserve">⚠️ 数据质量与风险声明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📊 指数由新浪主源、东方财富和腾讯交叉验证，结果一致；市场宽度与全市场成交额为同花顺单源，可使用但已标明来源。</w:t>
      </w:r>
    </w:p>
    <w:p>
      <w:pPr>
        <w:numPr>
          <w:ilvl w:val="0"/>
          <w:numId w:val="1012"/>
        </w:numPr>
        <w:pStyle w:val="Compact"/>
      </w:pPr>
      <w:r>
        <w:t xml:space="preserve">💰 全市场成交额比较口径为</w:t>
      </w:r>
      <w:r>
        <w:t xml:space="preserve"> </w:t>
      </w:r>
      <w:r>
        <w:rPr>
          <w:rStyle w:val="VerbatimChar"/>
        </w:rPr>
        <w:t xml:space="preserve">unverified</w:t>
      </w:r>
      <w:r>
        <w:t xml:space="preserve">，只引用上午累计 12471.52 亿元，不引用变化百分比或</w:t>
      </w:r>
      <w:r>
        <w:t xml:space="preserve">“</w:t>
      </w:r>
      <w:r>
        <w:t xml:space="preserve">较昨日同期放量</w:t>
      </w:r>
      <w:r>
        <w:t xml:space="preserve">”</w:t>
      </w:r>
      <w:r>
        <w:t xml:space="preserve">结论。</w:t>
      </w:r>
    </w:p>
    <w:p>
      <w:pPr>
        <w:numPr>
          <w:ilvl w:val="0"/>
          <w:numId w:val="1012"/>
        </w:numPr>
        <w:pStyle w:val="Compact"/>
      </w:pPr>
      <w:r>
        <w:t xml:space="preserve">⚠️ 资金流入/流出 TOP10、板块表现、活跃个股、涨跌停样本及核心个股多源校验均不可用；本报告没有补造榜单、金额或个股行情。</w:t>
      </w:r>
    </w:p>
    <w:p>
      <w:pPr>
        <w:numPr>
          <w:ilvl w:val="0"/>
          <w:numId w:val="1012"/>
        </w:numPr>
        <w:pStyle w:val="Compact"/>
      </w:pPr>
      <w:r>
        <w:t xml:space="preserve">🔎 华泰分析仅作为补充线索；与本地结构化数据无法交叉验证的行业和个股结论均已降级。</w:t>
      </w:r>
    </w:p>
    <w:p>
      <w:pPr>
        <w:numPr>
          <w:ilvl w:val="0"/>
          <w:numId w:val="1012"/>
        </w:numPr>
        <w:pStyle w:val="Compact"/>
      </w:pPr>
      <w:r>
        <w:t xml:space="preserve">🚫 本报告为盘中研究记录，不构成收益承诺或无条件交易指令。</w:t>
      </w:r>
    </w:p>
    <w:p>
      <w:pPr>
        <w:pStyle w:val="BlockText"/>
      </w:pPr>
      <w:r>
        <w:t xml:space="preserve">📊 生成时间：2026-09-04 11:45（北京时间，Asia/Shanghai）</w:t>
      </w:r>
      <w:r>
        <w:t xml:space="preserve"> </w:t>
      </w:r>
      <w:r>
        <w:t xml:space="preserve">🔮 by：先知 v1.0.3 — 周先生出品</w:t>
      </w:r>
      <w:r>
        <w:t xml:space="preserve"> </w:t>
      </w:r>
      <w:r>
        <w:t xml:space="preserve">🔵 数据采集模型：local-python</w:t>
      </w:r>
      <w:r>
        <w:t xml:space="preserve"> </w:t>
      </w:r>
      <w:r>
        <w:t xml:space="preserve">🔴 分析+写稿模型：hermes</w:t>
      </w:r>
      <w:r>
        <w:t xml:space="preserve"> </w:t>
      </w:r>
      <w:r>
        <w:t xml:space="preserve">📄 文档生成：pandoc (markdown → docx)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2026-09-04T03:50:30Z</dcterms:created>
  <dcterms:modified xsi:type="dcterms:W3CDTF">2026-09-04T03:50:30Z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