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全天复盘-2026-09-04周五"/>
      <w:r>
        <w:t xml:space="preserve">🕑 全天复盘 | 2026-09-04（周五）</w:t>
      </w:r>
      <w:bookmarkEnd w:id="20"/>
    </w:p>
    <w:p>
      <w:pPr>
        <w:pStyle w:val="BlockText"/>
      </w:pPr>
      <w:r>
        <w:t xml:space="preserve">数据基准：指数行情截至 15:15，同花顺涨跌分布截至 15:14:46。关键数据源覆盖率 3/7（42.86%）。指数已获新浪、东方财富、腾讯交叉验证；市场宽度与成交额为同花顺单源。资金流、板块榜、活跃个股、涨跌停样本及核心个股多源校验缺失，相关结论均降级为</w:t>
      </w:r>
      <w:r>
        <w:t xml:space="preserve">“</w:t>
      </w:r>
      <w:r>
        <w:t xml:space="preserve">未核验/单源线索</w:t>
      </w:r>
      <w:r>
        <w:t xml:space="preserve">”</w:t>
      </w:r>
      <w:r>
        <w:t xml:space="preserve">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全天行情概览"/>
      <w:r>
        <w:t xml:space="preserve">📊 全天行情概览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指数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right"/>
            </w:pPr>
            <w:r>
              <w:t xml:space="preserve">收盘点位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right"/>
            </w:pPr>
            <w:r>
              <w:t xml:space="preserve">涨跌幅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上证指数</w:t>
            </w:r>
          </w:p>
        </w:tc>
        <w:tc>
          <w:p>
            <w:pPr>
              <w:pStyle w:val="Compact"/>
              <w:jc w:val="right"/>
            </w:pPr>
            <w:r>
              <w:t xml:space="preserve">3930.1164</w:t>
            </w:r>
          </w:p>
        </w:tc>
        <w:tc>
          <w:p>
            <w:pPr>
              <w:pStyle w:val="Compact"/>
              <w:jc w:val="right"/>
            </w:pPr>
            <w:r>
              <w:t xml:space="preserve">📉 -0.3037%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深证成指</w:t>
            </w:r>
          </w:p>
        </w:tc>
        <w:tc>
          <w:p>
            <w:pPr>
              <w:pStyle w:val="Compact"/>
              <w:jc w:val="right"/>
            </w:pPr>
            <w:r>
              <w:t xml:space="preserve">13516.969</w:t>
            </w:r>
          </w:p>
        </w:tc>
        <w:tc>
          <w:p>
            <w:pPr>
              <w:pStyle w:val="Compact"/>
              <w:jc w:val="right"/>
            </w:pPr>
            <w:r>
              <w:t xml:space="preserve">📉 -0.7938%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创业板指</w:t>
            </w:r>
          </w:p>
        </w:tc>
        <w:tc>
          <w:p>
            <w:pPr>
              <w:pStyle w:val="Compact"/>
              <w:jc w:val="right"/>
            </w:pPr>
            <w:r>
              <w:t xml:space="preserve">3286.546</w:t>
            </w:r>
          </w:p>
        </w:tc>
        <w:tc>
          <w:p>
            <w:pPr>
              <w:pStyle w:val="Compact"/>
              <w:jc w:val="right"/>
            </w:pPr>
            <w:r>
              <w:t xml:space="preserve">📉 -0.7847%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科创50</w:t>
            </w:r>
          </w:p>
        </w:tc>
        <w:tc>
          <w:p>
            <w:pPr>
              <w:pStyle w:val="Compact"/>
              <w:jc w:val="right"/>
            </w:pPr>
            <w:r>
              <w:t xml:space="preserve">1577.3606</w:t>
            </w:r>
          </w:p>
        </w:tc>
        <w:tc>
          <w:p>
            <w:pPr>
              <w:pStyle w:val="Compact"/>
              <w:jc w:val="right"/>
            </w:pPr>
            <w:r>
              <w:t xml:space="preserve">📉 -2.0981%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沪深300</w:t>
            </w:r>
          </w:p>
        </w:tc>
        <w:tc>
          <w:p>
            <w:pPr>
              <w:pStyle w:val="Compact"/>
              <w:jc w:val="right"/>
            </w:pPr>
            <w:r>
              <w:t xml:space="preserve">4548.0499</w:t>
            </w:r>
          </w:p>
        </w:tc>
        <w:tc>
          <w:p>
            <w:pPr>
              <w:pStyle w:val="Compact"/>
              <w:jc w:val="right"/>
            </w:pPr>
            <w:r>
              <w:t xml:space="preserve">📉 -0.0995%</w:t>
            </w:r>
          </w:p>
        </w:tc>
      </w:tr>
    </w:tbl>
    <w:p>
      <w:pPr>
        <w:numPr>
          <w:ilvl w:val="0"/>
          <w:numId w:val="1001"/>
        </w:numPr>
        <w:pStyle w:val="Compact"/>
      </w:pPr>
      <w:r>
        <w:t xml:space="preserve">📊 三源指数校验一致。沪深300跌幅最小、科创50跌幅最大，权重防御明显强于硬科技成长。</w:t>
      </w:r>
    </w:p>
    <w:p>
      <w:pPr>
        <w:numPr>
          <w:ilvl w:val="0"/>
          <w:numId w:val="1001"/>
        </w:numPr>
        <w:pStyle w:val="Compact"/>
      </w:pPr>
      <w:r>
        <w:t xml:space="preserve">💰 同花顺单源确认全市场当日累计成交额 20510.48 亿元；同一接口列示昨日成交额 17802.38 亿元，但</w:t>
      </w:r>
      <w:r>
        <w:t xml:space="preserve"> </w:t>
      </w:r>
      <w:r>
        <w:rPr>
          <w:rStyle w:val="VerbatimChar"/>
        </w:rPr>
        <w:t xml:space="preserve">turnover_comparison_scope=unverified</w:t>
      </w:r>
      <w:r>
        <w:t xml:space="preserve">，因此不计算或引用变化百分比。</w:t>
      </w:r>
    </w:p>
    <w:p>
      <w:pPr>
        <w:numPr>
          <w:ilvl w:val="0"/>
          <w:numId w:val="1001"/>
        </w:numPr>
        <w:pStyle w:val="Compact"/>
      </w:pPr>
      <w:r>
        <w:t xml:space="preserve">📉 同花顺单源显示上涨 2444 家、下跌 2914 家、平盘 190 家、停牌 8 家；涨停 42 家、跌停 6 家。</w:t>
      </w:r>
    </w:p>
    <w:p>
      <w:pPr>
        <w:numPr>
          <w:ilvl w:val="0"/>
          <w:numId w:val="1001"/>
        </w:numPr>
        <w:pStyle w:val="Compact"/>
      </w:pPr>
      <w:r>
        <w:t xml:space="preserve">🎭 一句话特征：上午普涨修复，下午全面回落；放量环境中的分歧扩大，防御权重相对抗跌，科技成长承压最重。</w:t>
      </w:r>
    </w:p>
    <w:p>
      <w:pPr>
        <w:numPr>
          <w:ilvl w:val="0"/>
          <w:numId w:val="1001"/>
        </w:numPr>
        <w:pStyle w:val="Compact"/>
      </w:pPr>
      <w:r>
        <w:t xml:space="preserve">⚠️ 沪深300ETF净申购数据未进入采集 JSON，外资方向代理指标未核验，禁止据此判断净流入或净流出。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上午-vs-下午对比"/>
      <w:r>
        <w:t xml:space="preserve">⏰ 上午 vs 下午对比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📈 午间上证、深证、创业板分别上涨 0.3491%、0.2662%、0.4268%，收盘转为下跌 0.3037%、0.7938%、0.7847%；下午涨跌幅分别回落 0.6528、1.0600、1.2115 个百分点。</w:t>
      </w:r>
    </w:p>
    <w:p>
      <w:pPr>
        <w:numPr>
          <w:ilvl w:val="0"/>
          <w:numId w:val="1002"/>
        </w:numPr>
        <w:pStyle w:val="Compact"/>
      </w:pPr>
      <w:r>
        <w:t xml:space="preserve">📉 科创50由午间 -0.6982% 扩大至 -2.0981%，下午再回落 1.3999 个百分点；沪深300由 +0.4327% 转为 -0.0995%，下午回落 0.5322 个百分点。</w:t>
      </w:r>
    </w:p>
    <w:p>
      <w:pPr>
        <w:numPr>
          <w:ilvl w:val="0"/>
          <w:numId w:val="1002"/>
        </w:numPr>
        <w:pStyle w:val="Compact"/>
      </w:pPr>
      <w:r>
        <w:t xml:space="preserve">📊 上涨家数由午间 4135 家降至 2444 家，减少 1691 家；下跌家数由 1315 家升至 2914 家，增加 1599 家。涨停由 45 家降至 42 家，跌停由 2 家升至 6 家。</w:t>
      </w:r>
    </w:p>
    <w:p>
      <w:pPr>
        <w:numPr>
          <w:ilvl w:val="0"/>
          <w:numId w:val="1002"/>
        </w:numPr>
        <w:pStyle w:val="Compact"/>
      </w:pPr>
      <w:r>
        <w:t xml:space="preserve">💰 全市场成交额由午间累计 12471.52 亿元增至收盘 20510.48 亿元，下午新增成交 8038.96 亿元。该计算仅比较同一交易日午间与收盘累计值。</w:t>
      </w:r>
    </w:p>
    <w:p>
      <w:pPr>
        <w:numPr>
          <w:ilvl w:val="0"/>
          <w:numId w:val="1002"/>
        </w:numPr>
        <w:pStyle w:val="Compact"/>
      </w:pPr>
      <w:r>
        <w:t xml:space="preserve">🎯 午盘</w:t>
      </w:r>
      <w:r>
        <w:t xml:space="preserve">“</w:t>
      </w:r>
      <w:r>
        <w:t xml:space="preserve">偏强震荡、冲高不追</w:t>
      </w:r>
      <w:r>
        <w:t xml:space="preserve">”</w:t>
      </w:r>
      <w:r>
        <w:t xml:space="preserve">的风险判断得到验证；午盘派生的高仓位模型未能延续，收盘派生模型已转为</w:t>
      </w:r>
      <w:r>
        <w:t xml:space="preserve">“</w:t>
      </w:r>
      <w:r>
        <w:t xml:space="preserve">偏弱/防御</w:t>
      </w:r>
      <w:r>
        <w:t xml:space="preserve">”</w:t>
      </w:r>
      <w:r>
        <w:t xml:space="preserve">。</w:t>
      </w:r>
    </w:p>
    <w:p>
      <w:pPr>
        <w:numPr>
          <w:ilvl w:val="0"/>
          <w:numId w:val="1002"/>
        </w:numPr>
        <w:pStyle w:val="Compact"/>
      </w:pPr>
      <w:r>
        <w:t xml:space="preserve">⚠️ 由于全天板块榜、资金流与活跃股源均失败，无法可靠刻画资金具体从哪个板块流向哪个板块；只能确认风险偏好从上午普涨转向下午收缩。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领涨板块-top10-与龙头股"/>
      <w:r>
        <w:t xml:space="preserve">🔥 领涨板块 TOP10 与龙头股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⚠️ 领涨板块 TOP10：未核验。</w:t>
      </w:r>
      <w:r>
        <w:rPr>
          <w:rStyle w:val="VerbatimChar"/>
        </w:rPr>
        <w:t xml:space="preserve">sector_performance.ok=false</w:t>
      </w:r>
      <w:r>
        <w:t xml:space="preserve">，采集 JSON 没有结构化排名、涨幅或成交额，禁止用华泰文本替代真实榜单。</w:t>
      </w:r>
    </w:p>
    <w:p>
      <w:pPr>
        <w:numPr>
          <w:ilvl w:val="0"/>
          <w:numId w:val="1003"/>
        </w:numPr>
        <w:pStyle w:val="Compact"/>
      </w:pPr>
      <w:r>
        <w:t xml:space="preserve">⚠️ TOP20 龙头股：未核验。</w:t>
      </w:r>
      <w:r>
        <w:rPr>
          <w:rStyle w:val="VerbatimChar"/>
        </w:rPr>
        <w:t xml:space="preserve">active_stocks.ok=false</w:t>
      </w:r>
      <w:r>
        <w:t xml:space="preserve">、</w:t>
      </w:r>
      <w:r>
        <w:rPr>
          <w:rStyle w:val="VerbatimChar"/>
        </w:rPr>
        <w:t xml:space="preserve">limit_stocks.ok=false</w:t>
      </w:r>
      <w:r>
        <w:t xml:space="preserve">、</w:t>
      </w:r>
      <w:r>
        <w:rPr>
          <w:rStyle w:val="VerbatimChar"/>
        </w:rPr>
        <w:t xml:space="preserve">stock_quote_cross_checks.ok=false</w:t>
      </w:r>
      <w:r>
        <w:t xml:space="preserve">，无法确认成交额核心、涨停状态、换手率及三源行情一致性。</w:t>
      </w:r>
    </w:p>
    <w:p>
      <w:pPr>
        <w:numPr>
          <w:ilvl w:val="0"/>
          <w:numId w:val="1003"/>
        </w:numPr>
        <w:pStyle w:val="Compact"/>
      </w:pPr>
      <w:r>
        <w:t xml:space="preserve">🔎 华泰</w:t>
      </w:r>
      <w:r>
        <w:t xml:space="preserve"> </w:t>
      </w:r>
      <w:r>
        <w:rPr>
          <w:rStyle w:val="VerbatimChar"/>
        </w:rPr>
        <w:t xml:space="preserve">market_insight</w:t>
      </w:r>
      <w:r>
        <w:t xml:space="preserve"> </w:t>
      </w:r>
      <w:r>
        <w:t xml:space="preserve">单源文本把大消费与银行列为强势线索，并给出白酒涨 2.82%、净流入 10.32 亿元，农林牧渔净流入 30.16 亿元，传媒净流入 61.74 亿元。上述数值来自采集 JSON 内的华泰文本，但未获本地结构化板块源交叉验证，不属于真实 TOP10 榜单。</w:t>
      </w:r>
    </w:p>
    <w:p>
      <w:pPr>
        <w:numPr>
          <w:ilvl w:val="0"/>
          <w:numId w:val="1003"/>
        </w:numPr>
        <w:pStyle w:val="Compact"/>
      </w:pPr>
      <w:r>
        <w:t xml:space="preserve">🔎 华泰</w:t>
      </w:r>
      <w:r>
        <w:t xml:space="preserve"> </w:t>
      </w:r>
      <w:r>
        <w:rPr>
          <w:rStyle w:val="VerbatimChar"/>
        </w:rPr>
        <w:t xml:space="preserve">select_stock</w:t>
      </w:r>
      <w:r>
        <w:t xml:space="preserve"> </w:t>
      </w:r>
      <w:r>
        <w:t xml:space="preserve">单源候选包括四方精创、我爱我家、亚盛集团、古越龙山、罗牛山、欢瑞世纪、翠微股份等；其价格、涨幅和主力净流入未获新浪/东财/腾讯核心个股校验，只能作为明日观察池。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资金流向-top10"/>
      <w:r>
        <w:t xml:space="preserve">💰 资金流向 TOP10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💰 主力净流入 TOP10：未核验。</w:t>
      </w:r>
      <w:r>
        <w:rPr>
          <w:rStyle w:val="VerbatimChar"/>
        </w:rPr>
        <w:t xml:space="preserve">money_flow.ok=false</w:t>
      </w:r>
      <w:r>
        <w:t xml:space="preserve">，东方财富接口返回 HTTP 502，采集 JSON 不含可用 TOP10 榜单和完整金额，禁止自行补齐。</w:t>
      </w:r>
    </w:p>
    <w:p>
      <w:pPr>
        <w:numPr>
          <w:ilvl w:val="0"/>
          <w:numId w:val="1004"/>
        </w:numPr>
        <w:pStyle w:val="Compact"/>
      </w:pPr>
      <w:r>
        <w:t xml:space="preserve">⚠️ 主力净流出 TOP10：未核验。</w:t>
      </w:r>
      <w:r>
        <w:rPr>
          <w:rStyle w:val="VerbatimChar"/>
        </w:rPr>
        <w:t xml:space="preserve">money_flow.ok=false</w:t>
      </w:r>
      <w:r>
        <w:t xml:space="preserve">，采集 JSON 不含可用 TOP10 榜单和完整金额，禁止把华泰文本中的局部行业金额冒充 TOP10。</w:t>
      </w:r>
    </w:p>
    <w:p>
      <w:pPr>
        <w:numPr>
          <w:ilvl w:val="0"/>
          <w:numId w:val="1004"/>
        </w:numPr>
        <w:pStyle w:val="Compact"/>
      </w:pPr>
      <w:r>
        <w:t xml:space="preserve">📉 资金层面的可确认风险信号仅为华泰单源文本所述半导体净流出 160.38 亿元；该数值未获本地资金流源复核，需与科创50下跌 2.0981%结合，作为科技承压线索而非完整资金榜结论。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领跌板块-top5-与资金流出预警"/>
      <w:r>
        <w:t xml:space="preserve">🔴 领跌板块 TOP5 与资金流出预警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⚠️ 领跌板块 TOP5：未核验。</w:t>
      </w:r>
      <w:r>
        <w:rPr>
          <w:rStyle w:val="VerbatimChar"/>
        </w:rPr>
        <w:t xml:space="preserve">sector_performance.ok=false</w:t>
      </w:r>
      <w:r>
        <w:t xml:space="preserve">，不得补写具体排名和跌幅。</w:t>
      </w:r>
    </w:p>
    <w:p>
      <w:pPr>
        <w:numPr>
          <w:ilvl w:val="0"/>
          <w:numId w:val="1005"/>
        </w:numPr>
        <w:pStyle w:val="Compact"/>
      </w:pPr>
      <w:r>
        <w:t xml:space="preserve">📉 可确认的风格证据是科创50下跌 2.0981%，显著弱于沪深300的 -0.0995%；华泰单源文本另称半导体、电子化学品、元件、消费电子承压。</w:t>
      </w:r>
    </w:p>
    <w:p>
      <w:pPr>
        <w:numPr>
          <w:ilvl w:val="0"/>
          <w:numId w:val="1005"/>
        </w:numPr>
        <w:pStyle w:val="Compact"/>
      </w:pPr>
      <w:r>
        <w:t xml:space="preserve">🚫 明日优先回避高位科技硬件的无量反抽和开盘急拉。只有科创50止跌、板块获得可核验净流入且核心股形成承接，才撤销该预警。</w:t>
      </w:r>
    </w:p>
    <w:p>
      <w:pPr>
        <w:numPr>
          <w:ilvl w:val="0"/>
          <w:numId w:val="1005"/>
        </w:numPr>
        <w:pStyle w:val="Compact"/>
      </w:pPr>
      <w:r>
        <w:t xml:space="preserve">⚠️ 华泰局部资金数值不能替代资金流出 TOP10；若下一轮</w:t>
      </w:r>
      <w:r>
        <w:t xml:space="preserve"> </w:t>
      </w:r>
      <w:r>
        <w:rPr>
          <w:rStyle w:val="VerbatimChar"/>
        </w:rPr>
        <w:t xml:space="preserve">money_flow</w:t>
      </w:r>
      <w:r>
        <w:t xml:space="preserve"> </w:t>
      </w:r>
      <w:r>
        <w:t xml:space="preserve">仍失败，继续按未核验处理。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市场情绪综合判断"/>
      <w:r>
        <w:t xml:space="preserve">🎭 市场情绪综合判断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📉 赚钱效应：上涨 2444 家、下跌 2914 家，个股负反馈占优，但 42 家涨停、6 家跌停表明并非全面冰点。</w:t>
      </w:r>
    </w:p>
    <w:p>
      <w:pPr>
        <w:numPr>
          <w:ilvl w:val="0"/>
          <w:numId w:val="1006"/>
        </w:numPr>
        <w:pStyle w:val="Compact"/>
      </w:pPr>
      <w:r>
        <w:t xml:space="preserve">🎭 市场分歧：上午 4135 家上涨，收盘仅 2444 家上涨，日内情绪由普涨快速转弱，冲高兑现特征明显。</w:t>
      </w:r>
    </w:p>
    <w:p>
      <w:pPr>
        <w:numPr>
          <w:ilvl w:val="0"/>
          <w:numId w:val="1006"/>
        </w:numPr>
        <w:pStyle w:val="Compact"/>
      </w:pPr>
      <w:r>
        <w:t xml:space="preserve">🛡️ 市场风格：</w:t>
      </w:r>
      <w:r>
        <w:rPr>
          <w:rStyle w:val="VerbatimChar"/>
        </w:rPr>
        <w:t xml:space="preserve">derived.market_style</w:t>
      </w:r>
      <w:r>
        <w:t xml:space="preserve"> </w:t>
      </w:r>
      <w:r>
        <w:t xml:space="preserve">为</w:t>
      </w:r>
      <w:r>
        <w:t xml:space="preserve">“</w:t>
      </w:r>
      <w:r>
        <w:t xml:space="preserve">偏弱/防御</w:t>
      </w:r>
      <w:r>
        <w:t xml:space="preserve">”</w:t>
      </w:r>
      <w:r>
        <w:t xml:space="preserve">；沪深300和上证相对抗跌，科创50明显弱势，资金风险偏好收缩。</w:t>
      </w:r>
    </w:p>
    <w:p>
      <w:pPr>
        <w:numPr>
          <w:ilvl w:val="0"/>
          <w:numId w:val="1006"/>
        </w:numPr>
        <w:pStyle w:val="Compact"/>
      </w:pPr>
      <w:r>
        <w:t xml:space="preserve">📊 情绪周期：由上午回暖转入收盘退潮，定义为</w:t>
      </w:r>
      <w:r>
        <w:t xml:space="preserve">“</w:t>
      </w:r>
      <w:r>
        <w:t xml:space="preserve">回暖失败后的分歧退潮</w:t>
      </w:r>
      <w:r>
        <w:t xml:space="preserve">”</w:t>
      </w:r>
      <w:r>
        <w:t xml:space="preserve">，尚未达到冰点。</w:t>
      </w:r>
    </w:p>
    <w:p>
      <w:pPr>
        <w:numPr>
          <w:ilvl w:val="0"/>
          <w:numId w:val="1006"/>
        </w:numPr>
        <w:pStyle w:val="Compact"/>
      </w:pPr>
      <w:r>
        <w:t xml:space="preserve">💰 量能：当日成交额 20510.48 亿元可确认，但与昨日比较口径未核验，不能把成交额变化百分比作为仓位证据。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华泰自选股观察"/>
      <w:r>
        <w:t xml:space="preserve">🧾 华泰自选股观察</w:t>
      </w:r>
      <w:bookmarkEnd w:id="27"/>
    </w:p>
    <w:p>
      <w:pPr>
        <w:pStyle w:val="FirstParagraph"/>
      </w:pPr>
      <w:r>
        <w:t xml:space="preserve">华泰自选股共 3 只，收盘行情均采集成功。风语筑和工商银行收红，弘元绿能小幅下跌；工商银行与防御风格共振最清晰，风语筑与传媒/数字内容单源线索有一定共振，弘元绿能缺少光伏主线验证。除工商银行的防御持有逻辑外，整体以跟踪为主、暂不作为主攻方向。</w:t>
      </w:r>
    </w:p>
    <w:p>
      <w:pPr>
        <w:numPr>
          <w:ilvl w:val="0"/>
          <w:numId w:val="1007"/>
        </w:numPr>
        <w:pStyle w:val="Compact"/>
      </w:pPr>
      <w:r>
        <w:t xml:space="preserve">📉 603185 弘元绿能：最新价 14.78 元，跌 0.34%。所属光伏硅片/新能源制造；采集数据没有光伏板块涨幅、资金流或活跃股确认，与当日已确认的防御风格无明显共振。判断：偏弱、继续观察，不追高、不因深套补仓；仅在光伏板块放量且出现可核验净流入时低吸跟踪。</w:t>
      </w:r>
    </w:p>
    <w:p>
      <w:pPr>
        <w:numPr>
          <w:ilvl w:val="0"/>
          <w:numId w:val="1007"/>
        </w:numPr>
        <w:pStyle w:val="Compact"/>
      </w:pPr>
      <w:r>
        <w:t xml:space="preserve">📈 603466 风语筑：最新价 12.39 元，涨 2.48%。所属数字文创、展览展示与文化科技；与华泰单源文本中的传媒强势线索存在一定共振，但缺少本地板块榜和个股三源校验。判断：自选股中偏强，可继续观察但不追高；若板块承接消失或个股跌回前收 12.09 元下方，转为偏弱。</w:t>
      </w:r>
    </w:p>
    <w:p>
      <w:pPr>
        <w:numPr>
          <w:ilvl w:val="0"/>
          <w:numId w:val="1007"/>
        </w:numPr>
        <w:pStyle w:val="Compact"/>
      </w:pPr>
      <w:r>
        <w:t xml:space="preserve">📈 601398 工商银行：最新价 8.13 元，涨 0.37%。所属国有大行、高股息防御；与沪深300相对抗跌及收盘</w:t>
      </w:r>
      <w:r>
        <w:t xml:space="preserve">“</w:t>
      </w:r>
      <w:r>
        <w:t xml:space="preserve">偏弱/防御</w:t>
      </w:r>
      <w:r>
        <w:t xml:space="preserve">”</w:t>
      </w:r>
      <w:r>
        <w:t xml:space="preserve">风格共振。判断：偏稳健持有、保护利润，不追高增加银行集中度；若跌回前收 8.10 元下方并延续弱势，考虑部分止盈。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用户实盘持仓复盘"/>
      <w:r>
        <w:t xml:space="preserve">💼 用户实盘持仓复盘</w:t>
      </w:r>
      <w:bookmarkEnd w:id="28"/>
    </w:p>
    <w:p>
      <w:pPr>
        <w:pStyle w:val="BlockText"/>
      </w:pPr>
      <w:r>
        <w:t xml:space="preserve">盈亏按已确认价格与成本静态计算，未计佣金、印花税、分红和融资成本。弘元绿能、风语筑、工商银行采用 15:15 华泰行情；农业银行缺少本轮收盘行情，仅沿用盘前上下文中最后确认的 6.89 元作参考，不代表 15:15 收盘价。</w:t>
      </w:r>
    </w:p>
    <w:p>
      <w:pPr>
        <w:pStyle w:val="Heading3"/>
      </w:pPr>
      <w:bookmarkStart w:id="29" w:name="弘元绿能300-股成本-26.6669-元"/>
      <w:r>
        <w:t xml:space="preserve">📉 603185 弘元绿能｜300 股｜成本 26.6669 元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📊 最新价 14.78 元，跌 0.34%；静态浮亏 3566.07 元，收益率 -44.58%，参考市值 4434.00 元。</w:t>
      </w:r>
    </w:p>
    <w:p>
      <w:pPr>
        <w:numPr>
          <w:ilvl w:val="0"/>
          <w:numId w:val="1008"/>
        </w:numPr>
        <w:pStyle w:val="Compact"/>
      </w:pPr>
      <w:r>
        <w:t xml:space="preserve">💡 明日动作：减仓观察优先级最高。若反弹但光伏板块仍无资金与成交共振，优先降低风险敞口；不以回本为唯一决策依据。</w:t>
      </w:r>
    </w:p>
    <w:p>
      <w:pPr>
        <w:numPr>
          <w:ilvl w:val="0"/>
          <w:numId w:val="1008"/>
        </w:numPr>
        <w:pStyle w:val="Compact"/>
      </w:pPr>
      <w:r>
        <w:t xml:space="preserve">📉 减仓/离场触发：跌破前收 14.83 元后不能收回，或向已确认跌停参考价 13.35 元靠近且承接恶化。</w:t>
      </w:r>
    </w:p>
    <w:p>
      <w:pPr>
        <w:numPr>
          <w:ilvl w:val="0"/>
          <w:numId w:val="1008"/>
        </w:numPr>
        <w:pStyle w:val="Compact"/>
      </w:pPr>
      <w:r>
        <w:t xml:space="preserve">📈 条件加仓：仅在光伏板块取得可核验净流入、个股放量转强并回踩承接有效时小仓评估；当前不满足。</w:t>
      </w:r>
    </w:p>
    <w:p>
      <w:pPr>
        <w:numPr>
          <w:ilvl w:val="0"/>
          <w:numId w:val="1008"/>
        </w:numPr>
        <w:pStyle w:val="Compact"/>
      </w:pPr>
      <w:r>
        <w:t xml:space="preserve">🚫 失效条件与风险：无条件摊薄策略无效；关注光伏供需、价格周期、产能压力及公告缺失风险。</w:t>
      </w:r>
    </w:p>
    <w:p>
      <w:pPr>
        <w:pStyle w:val="Heading3"/>
      </w:pPr>
      <w:bookmarkStart w:id="30" w:name="风语筑700-股成本-13.2159-元"/>
      <w:r>
        <w:t xml:space="preserve">📉 603466 风语筑｜700 股｜成本 13.2159 元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📊 最新价 12.39 元，涨 2.48%；静态浮亏 578.13 元，收益率 -6.25%，参考市值 8673.00 元。</w:t>
      </w:r>
    </w:p>
    <w:p>
      <w:pPr>
        <w:numPr>
          <w:ilvl w:val="0"/>
          <w:numId w:val="1009"/>
        </w:numPr>
        <w:pStyle w:val="Compact"/>
      </w:pPr>
      <w:r>
        <w:t xml:space="preserve">💡 明日动作：持有观察、冲高不追。其相对强势可保留，但需要数字文创/传媒板块继续承接。</w:t>
      </w:r>
    </w:p>
    <w:p>
      <w:pPr>
        <w:numPr>
          <w:ilvl w:val="0"/>
          <w:numId w:val="1009"/>
        </w:numPr>
        <w:pStyle w:val="Compact"/>
      </w:pPr>
      <w:r>
        <w:t xml:space="preserve">📉 减仓/离场触发：跌回前收 12.09 元下方且不能收回，或题材高开低走、板块扩散失败。</w:t>
      </w:r>
    </w:p>
    <w:p>
      <w:pPr>
        <w:numPr>
          <w:ilvl w:val="0"/>
          <w:numId w:val="1009"/>
        </w:numPr>
        <w:pStyle w:val="Compact"/>
      </w:pPr>
      <w:r>
        <w:t xml:space="preserve">📈 条件加仓：个股放量站稳、传媒或数字内容获得可核验资金流入且回踩不破后，才可小仓评估。</w:t>
      </w:r>
    </w:p>
    <w:p>
      <w:pPr>
        <w:numPr>
          <w:ilvl w:val="0"/>
          <w:numId w:val="1009"/>
        </w:numPr>
        <w:pStyle w:val="Compact"/>
      </w:pPr>
      <w:r>
        <w:t xml:space="preserve">🚫 失效条件与风险：单源题材线索失效、项目公告出现负面、板块资金转弱时取消加仓；警惕项目制收入波动。</w:t>
      </w:r>
    </w:p>
    <w:p>
      <w:pPr>
        <w:pStyle w:val="Heading3"/>
      </w:pPr>
      <w:bookmarkStart w:id="31" w:name="工商银行1900-股成本-7.0601-元"/>
      <w:r>
        <w:t xml:space="preserve">📈 601398 工商银行｜1900 股｜成本 7.0601 元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📊 最新价 8.13 元，涨 0.37%；静态浮盈 2032.81 元，收益率 +15.15%，参考市值 15447.00 元。</w:t>
      </w:r>
    </w:p>
    <w:p>
      <w:pPr>
        <w:numPr>
          <w:ilvl w:val="0"/>
          <w:numId w:val="1010"/>
        </w:numPr>
        <w:pStyle w:val="Compact"/>
      </w:pPr>
      <w:r>
        <w:t xml:space="preserve">💡 明日动作：最稳健持有并保护利润，不新增银行集中度。</w:t>
      </w:r>
    </w:p>
    <w:p>
      <w:pPr>
        <w:numPr>
          <w:ilvl w:val="0"/>
          <w:numId w:val="1010"/>
        </w:numPr>
        <w:pStyle w:val="Compact"/>
      </w:pPr>
      <w:r>
        <w:t xml:space="preserve">📉 减仓/离场触发：跌回前收 8.10 元下方并持续弱于沪深300，可分批止盈；若向已确认跌停参考价 7.29 元靠近，严格降低仓位。</w:t>
      </w:r>
    </w:p>
    <w:p>
      <w:pPr>
        <w:numPr>
          <w:ilvl w:val="0"/>
          <w:numId w:val="1010"/>
        </w:numPr>
        <w:pStyle w:val="Compact"/>
      </w:pPr>
      <w:r>
        <w:t xml:space="preserve">📈 条件加仓：银行板块继续强于大盘、取得可核验净流入，且组合银行持仓占比已降低后再评估。</w:t>
      </w:r>
    </w:p>
    <w:p>
      <w:pPr>
        <w:numPr>
          <w:ilvl w:val="0"/>
          <w:numId w:val="1010"/>
        </w:numPr>
        <w:pStyle w:val="Compact"/>
      </w:pPr>
      <w:r>
        <w:t xml:space="preserve">🚫 失效条件与风险：高股息防御风格逆转、银行板块放量下跌或基本面出现负面信息；警惕净息差和行业集中度风险。</w:t>
      </w:r>
    </w:p>
    <w:p>
      <w:pPr>
        <w:pStyle w:val="Heading3"/>
      </w:pPr>
      <w:bookmarkStart w:id="32" w:name="农业银行5300-股成本-6.4244-元"/>
      <w:r>
        <w:t xml:space="preserve">📈 601288 农业银行｜5300 股｜成本 6.4244 元</w:t>
      </w:r>
      <w:bookmarkEnd w:id="32"/>
    </w:p>
    <w:p>
      <w:pPr>
        <w:numPr>
          <w:ilvl w:val="0"/>
          <w:numId w:val="1011"/>
        </w:numPr>
        <w:pStyle w:val="Compact"/>
      </w:pPr>
      <w:r>
        <w:t xml:space="preserve">⚠️ 本轮收盘价未核验；最后确认价为盘前上下文中的 6.89 元。按该参考价计算，静态浮盈 2467.68 元、收益率 +7.25%、参考市值 36517.00 元，不代表收盘结果。</w:t>
      </w:r>
    </w:p>
    <w:p>
      <w:pPr>
        <w:numPr>
          <w:ilvl w:val="0"/>
          <w:numId w:val="1011"/>
        </w:numPr>
        <w:pStyle w:val="Compact"/>
      </w:pPr>
      <w:r>
        <w:t xml:space="preserve">💡 明日动作：持有并优先控制集中度。该股为组合最大市值持仓，在未取得最新价前不新增仓位。</w:t>
      </w:r>
    </w:p>
    <w:p>
      <w:pPr>
        <w:numPr>
          <w:ilvl w:val="0"/>
          <w:numId w:val="1011"/>
        </w:numPr>
        <w:pStyle w:val="Compact"/>
      </w:pPr>
      <w:r>
        <w:t xml:space="preserve">📉 减仓/离场触发：取得实时行情后，如无法站稳盘前已确认前收 7.06 元且弱势延续，可分批保护利润；若跌破此前确认的 6.35 元风险位，严格执行减仓。</w:t>
      </w:r>
    </w:p>
    <w:p>
      <w:pPr>
        <w:numPr>
          <w:ilvl w:val="0"/>
          <w:numId w:val="1011"/>
        </w:numPr>
        <w:pStyle w:val="Compact"/>
      </w:pPr>
      <w:r>
        <w:t xml:space="preserve">📈 条件加仓：仅在最新行情核验完成、银行板块资金共振且组合集中度下降后评估。</w:t>
      </w:r>
    </w:p>
    <w:p>
      <w:pPr>
        <w:numPr>
          <w:ilvl w:val="0"/>
          <w:numId w:val="1011"/>
        </w:numPr>
        <w:pStyle w:val="Compact"/>
      </w:pPr>
      <w:r>
        <w:t xml:space="preserve">🚫 失效条件与风险：最新价格或公告与现有参考发生重大变化时，本策略失效；警惕利润回吐、净息差与单一行业集中风险。</w:t>
      </w:r>
    </w:p>
    <w:p>
      <w:pPr>
        <w:pStyle w:val="Heading3"/>
      </w:pPr>
      <w:bookmarkStart w:id="33" w:name="组合参考结论"/>
      <w:r>
        <w:t xml:space="preserve">📊 组合参考结论</w:t>
      </w:r>
      <w:bookmarkEnd w:id="33"/>
    </w:p>
    <w:p>
      <w:pPr>
        <w:numPr>
          <w:ilvl w:val="0"/>
          <w:numId w:val="1012"/>
        </w:numPr>
        <w:pStyle w:val="Compact"/>
      </w:pPr>
      <w:r>
        <w:t xml:space="preserve">📊 按三只收盘行情与农业银行最后确认价计算，成本合计 64714.71 元，参考市值 65071.00 元，参考浮盈 356.29 元、收益率 +0.55%；因农业银行收盘价未核验，该组合结果不是最终收盘盈亏。</w:t>
      </w:r>
    </w:p>
    <w:p>
      <w:pPr>
        <w:numPr>
          <w:ilvl w:val="0"/>
          <w:numId w:val="1012"/>
        </w:numPr>
        <w:pStyle w:val="Compact"/>
      </w:pPr>
      <w:r>
        <w:t xml:space="preserve">⚠️ 最该减仓观察：弘元绿能，亏损幅度最大且缺少主线共振。</w:t>
      </w:r>
    </w:p>
    <w:p>
      <w:pPr>
        <w:numPr>
          <w:ilvl w:val="0"/>
          <w:numId w:val="1012"/>
        </w:numPr>
        <w:pStyle w:val="Compact"/>
      </w:pPr>
      <w:r>
        <w:t xml:space="preserve">🛡️ 最稳健持有：工商银行，盈利安全垫为 +15.15%，但需保护利润并控制银行集中度。</w:t>
      </w:r>
    </w:p>
    <w:p>
      <w:pPr>
        <w:numPr>
          <w:ilvl w:val="0"/>
          <w:numId w:val="1012"/>
        </w:numPr>
        <w:pStyle w:val="Compact"/>
      </w:pPr>
      <w:r>
        <w:t xml:space="preserve">✅ 满足条件才可加仓：风语筑需数字内容板块资金与量价共振；弘元绿能需光伏趋势和资金共同确认；两只银行需先核验板块资金并降低组合集中度。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4" w:name="明日投资方向排序"/>
      <w:r>
        <w:t xml:space="preserve">🎯 明日投资方向排序</w:t>
      </w:r>
      <w:bookmarkEnd w:id="34"/>
    </w:p>
    <w:p>
      <w:pPr>
        <w:pStyle w:val="Heading3"/>
      </w:pPr>
      <w:bookmarkStart w:id="35" w:name="方向一国有大行高股息防御优先级高"/>
      <w:r>
        <w:t xml:space="preserve">🚀 方向一：国有大行—高股息防御（优先级：高）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📌 证据链：沪深300仅跌 0.0995%，强于深证成指、创业板和科创50；工商银行收涨 0.37%；华泰</w:t>
      </w:r>
      <w:r>
        <w:t xml:space="preserve"> </w:t>
      </w:r>
      <w:r>
        <w:rPr>
          <w:rStyle w:val="VerbatimChar"/>
        </w:rPr>
        <w:t xml:space="preserve">market_insight</w:t>
      </w:r>
      <w:r>
        <w:t xml:space="preserve"> </w:t>
      </w:r>
      <w:r>
        <w:t xml:space="preserve">单源文本把银行列为当日强势方向。板块涨幅与资金榜未核验，置信度受限。</w:t>
      </w:r>
    </w:p>
    <w:p>
      <w:pPr>
        <w:numPr>
          <w:ilvl w:val="0"/>
          <w:numId w:val="1013"/>
        </w:numPr>
        <w:pStyle w:val="Compact"/>
      </w:pPr>
      <w:r>
        <w:t xml:space="preserve">🔥 核心标的：工商银行（防御风格共振、现价与涨幅已确认）、农业银行（现有大仓位观察标的，但收盘价未核验）。</w:t>
      </w:r>
    </w:p>
    <w:p>
      <w:pPr>
        <w:numPr>
          <w:ilvl w:val="0"/>
          <w:numId w:val="1013"/>
        </w:numPr>
        <w:pStyle w:val="Compact"/>
      </w:pPr>
      <w:r>
        <w:t xml:space="preserve">💡 参与策略：激进账户不把银行作为短线追涨方向；稳健账户保留底仓、回撤保护利润；保守账户只持有已盈利仓位，不新增集中度。</w:t>
      </w:r>
    </w:p>
    <w:p>
      <w:pPr>
        <w:numPr>
          <w:ilvl w:val="0"/>
          <w:numId w:val="1013"/>
        </w:numPr>
        <w:pStyle w:val="Compact"/>
      </w:pPr>
      <w:r>
        <w:t xml:space="preserve">✅ 触发条件：银行板块继续强于指数、工商银行守住 8.10 元并出现承接，同时资金流榜恢复后确认净流入。</w:t>
      </w:r>
    </w:p>
    <w:p>
      <w:pPr>
        <w:numPr>
          <w:ilvl w:val="0"/>
          <w:numId w:val="1013"/>
        </w:numPr>
        <w:pStyle w:val="Compact"/>
      </w:pPr>
      <w:r>
        <w:t xml:space="preserve">🚫 失效条件：工商银行跌破 8.10 元后持续走弱，或银行板块放量下跌、资金转为净流出。</w:t>
      </w:r>
    </w:p>
    <w:p>
      <w:pPr>
        <w:numPr>
          <w:ilvl w:val="0"/>
          <w:numId w:val="1013"/>
        </w:numPr>
        <w:pStyle w:val="Compact"/>
      </w:pPr>
      <w:r>
        <w:t xml:space="preserve">⚠️ 风险：高股息交易拥挤、净息差压力、利率变化及组合银行仓位过度集中。</w:t>
      </w:r>
    </w:p>
    <w:p>
      <w:pPr>
        <w:pStyle w:val="Heading3"/>
      </w:pPr>
      <w:bookmarkStart w:id="36" w:name="方向二大消费白酒食品饮料养殖优先级中"/>
      <w:r>
        <w:t xml:space="preserve">🚀 方向二：大消费—白酒/食品饮料/养殖（优先级：中）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📌 证据链：华泰单源文本给出白酒涨 2.82%、净流入 10.32 亿元，农林牧渔净流入 30.16 亿元；华泰</w:t>
      </w:r>
      <w:r>
        <w:t xml:space="preserve"> </w:t>
      </w:r>
      <w:r>
        <w:rPr>
          <w:rStyle w:val="VerbatimChar"/>
        </w:rPr>
        <w:t xml:space="preserve">select_stock</w:t>
      </w:r>
      <w:r>
        <w:t xml:space="preserve"> </w:t>
      </w:r>
      <w:r>
        <w:t xml:space="preserve">单源候选中出现古越龙山 9.19 元、涨 10.06%、净流入 1.47 亿元，亚盛集团 4.36 元、涨 10.10%、净流入 1.36 亿元，罗牛山 6.13 元、涨 10.05%、净流入 1.50 亿元。板块榜、涨停样本与个股三源行情均未核验。</w:t>
      </w:r>
    </w:p>
    <w:p>
      <w:pPr>
        <w:numPr>
          <w:ilvl w:val="0"/>
          <w:numId w:val="1014"/>
        </w:numPr>
        <w:pStyle w:val="Compact"/>
      </w:pPr>
      <w:r>
        <w:t xml:space="preserve">🔥 核心标的：古越龙山（酒类消费单源强势样本）、亚盛集团（农业单源强势样本）、罗牛山（养殖单源强势样本）。</w:t>
      </w:r>
    </w:p>
    <w:p>
      <w:pPr>
        <w:numPr>
          <w:ilvl w:val="0"/>
          <w:numId w:val="1014"/>
        </w:numPr>
        <w:pStyle w:val="Compact"/>
      </w:pPr>
      <w:r>
        <w:t xml:space="preserve">💡 参与策略：激进账户仅做分歧回踩后的小仓试错；稳健账户等待板块榜和资金流恢复；保守账户继续观察，不追单源涨停线索。</w:t>
      </w:r>
    </w:p>
    <w:p>
      <w:pPr>
        <w:numPr>
          <w:ilvl w:val="0"/>
          <w:numId w:val="1014"/>
        </w:numPr>
        <w:pStyle w:val="Compact"/>
      </w:pPr>
      <w:r>
        <w:t xml:space="preserve">✅ 触发条件：消费板块次日保持强度，至少两只核心样本有承接，并取得板块净流入或成交额扩张的结构化确认。</w:t>
      </w:r>
    </w:p>
    <w:p>
      <w:pPr>
        <w:numPr>
          <w:ilvl w:val="0"/>
          <w:numId w:val="1014"/>
        </w:numPr>
        <w:pStyle w:val="Compact"/>
      </w:pPr>
      <w:r>
        <w:t xml:space="preserve">🚫 失效条件：核心样本高开低走、板块资金转出、涨停扩散失败，或指数再现共振下跌。</w:t>
      </w:r>
    </w:p>
    <w:p>
      <w:pPr>
        <w:numPr>
          <w:ilvl w:val="0"/>
          <w:numId w:val="1014"/>
        </w:numPr>
        <w:pStyle w:val="Compact"/>
      </w:pPr>
      <w:r>
        <w:t xml:space="preserve">⚠️ 风险：单源数据未交叉验证、低位轮动持续性不足、追高兑现及基本面催化缺失。</w:t>
      </w:r>
    </w:p>
    <w:p>
      <w:pPr>
        <w:pStyle w:val="Heading3"/>
      </w:pPr>
      <w:bookmarkStart w:id="37" w:name="方向三数字内容传媒金融科技应用优先级观察"/>
      <w:r>
        <w:t xml:space="preserve">🚀 方向三：数字内容—传媒/金融科技应用（优先级：观察）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📌 证据链：风语筑收涨 2.48%；华泰单源文本称传媒净流入 61.74 亿元；华泰</w:t>
      </w:r>
      <w:r>
        <w:t xml:space="preserve"> </w:t>
      </w:r>
      <w:r>
        <w:rPr>
          <w:rStyle w:val="VerbatimChar"/>
        </w:rPr>
        <w:t xml:space="preserve">select_stock</w:t>
      </w:r>
      <w:r>
        <w:t xml:space="preserve"> </w:t>
      </w:r>
      <w:r>
        <w:t xml:space="preserve">单源给出四方精创 27.50 元、涨 14.58%、净流入 6.91 亿元，欢瑞世纪 5.59 元、涨 10.04%、净流入 2.06 亿元，翠微股份 11.18 元、涨 10.04%、净流入 2.06 亿元。上述候选未获本地三源校验。</w:t>
      </w:r>
    </w:p>
    <w:p>
      <w:pPr>
        <w:numPr>
          <w:ilvl w:val="0"/>
          <w:numId w:val="1015"/>
        </w:numPr>
        <w:pStyle w:val="Compact"/>
      </w:pPr>
      <w:r>
        <w:t xml:space="preserve">🔥 核心标的：风语筑（自选股、收盘行情已确认）、四方精创（金融科技单源强势样本）、欢瑞世纪（数字内容单源样本）、翠微股份（数字支付单源样本）。</w:t>
      </w:r>
    </w:p>
    <w:p>
      <w:pPr>
        <w:numPr>
          <w:ilvl w:val="0"/>
          <w:numId w:val="1015"/>
        </w:numPr>
        <w:pStyle w:val="Compact"/>
      </w:pPr>
      <w:r>
        <w:t xml:space="preserve">💡 参与策略：激进账户只做低吸确认，不做加速追涨；稳健账户等待首轮分歧后的承接；保守账户不参与高波动题材。</w:t>
      </w:r>
    </w:p>
    <w:p>
      <w:pPr>
        <w:numPr>
          <w:ilvl w:val="0"/>
          <w:numId w:val="1015"/>
        </w:numPr>
        <w:pStyle w:val="Compact"/>
      </w:pPr>
      <w:r>
        <w:t xml:space="preserve">✅ 触发条件：风语筑守住 12.09 元，数字内容/金融科技至少两个分支同步走强，且板块资金流得到结构化确认。</w:t>
      </w:r>
    </w:p>
    <w:p>
      <w:pPr>
        <w:numPr>
          <w:ilvl w:val="0"/>
          <w:numId w:val="1015"/>
        </w:numPr>
        <w:pStyle w:val="Compact"/>
      </w:pPr>
      <w:r>
        <w:t xml:space="preserve">🚫 失效条件：风语筑跌破 12.09 元并走弱，核心样本高开低走，或板块只剩单只个股脉冲。</w:t>
      </w:r>
    </w:p>
    <w:p>
      <w:pPr>
        <w:numPr>
          <w:ilvl w:val="0"/>
          <w:numId w:val="1015"/>
        </w:numPr>
        <w:pStyle w:val="Compact"/>
      </w:pPr>
      <w:r>
        <w:t xml:space="preserve">⚠️ 风险：华泰单源、事件与题材持续性不足、个股涨幅较高后的兑现，以及科技风格整体承压。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8" w:name="明日展望与仓位策略"/>
      <w:r>
        <w:t xml:space="preserve">🎯 明日展望与仓位策略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🎭 市场判断：偏弱震荡、防御优先。上午普涨未能维持，收盘下跌家数占优，科创50跌幅突出；明日先观察情绪能否修复，不预设 V 形反转。</w:t>
      </w:r>
    </w:p>
    <w:p>
      <w:pPr>
        <w:numPr>
          <w:ilvl w:val="0"/>
          <w:numId w:val="1016"/>
        </w:numPr>
        <w:pStyle w:val="Compact"/>
      </w:pPr>
      <w:r>
        <w:t xml:space="preserve">💡 激进账户：依据</w:t>
      </w:r>
      <w:r>
        <w:t xml:space="preserve"> </w:t>
      </w:r>
      <w:r>
        <w:rPr>
          <w:rStyle w:val="VerbatimChar"/>
        </w:rPr>
        <w:t xml:space="preserve">derived.position_model</w:t>
      </w:r>
      <w:r>
        <w:t xml:space="preserve"> </w:t>
      </w:r>
      <w:r>
        <w:t xml:space="preserve">控制在 40%以内，只参与获得资金、板块与核心股三项确认的方向；未确认前保持更低仓位。</w:t>
      </w:r>
    </w:p>
    <w:p>
      <w:pPr>
        <w:numPr>
          <w:ilvl w:val="0"/>
          <w:numId w:val="1016"/>
        </w:numPr>
        <w:pStyle w:val="Compact"/>
      </w:pPr>
      <w:r>
        <w:t xml:space="preserve">💡 稳健账户：控制在 25%以内，以银行防御底仓和消费方向的确认后低吸为主，不追高。</w:t>
      </w:r>
    </w:p>
    <w:p>
      <w:pPr>
        <w:numPr>
          <w:ilvl w:val="0"/>
          <w:numId w:val="1016"/>
        </w:numPr>
        <w:pStyle w:val="Compact"/>
      </w:pPr>
      <w:r>
        <w:t xml:space="preserve">💡 保守账户：控制在 10%以内，优先处理持仓风险与保护已有利润，等待资金流源恢复。</w:t>
      </w:r>
    </w:p>
    <w:p>
      <w:pPr>
        <w:numPr>
          <w:ilvl w:val="0"/>
          <w:numId w:val="1016"/>
        </w:numPr>
        <w:pStyle w:val="Compact"/>
      </w:pPr>
      <w:r>
        <w:t xml:space="preserve">🔥 首要观察：银行能否继续相对抗跌；消费方向能否从华泰单源线索升级为结构化主线；数字内容能否在科技承压背景下走出独立性。</w:t>
      </w:r>
    </w:p>
    <w:p>
      <w:pPr>
        <w:numPr>
          <w:ilvl w:val="0"/>
          <w:numId w:val="1016"/>
        </w:numPr>
        <w:pStyle w:val="Compact"/>
      </w:pPr>
      <w:r>
        <w:t xml:space="preserve">📈 修复触发：上涨家数重新超过下跌家数、科创50止跌、指数回稳，且资金流与板块榜至少恢复一项。</w:t>
      </w:r>
    </w:p>
    <w:p>
      <w:pPr>
        <w:numPr>
          <w:ilvl w:val="0"/>
          <w:numId w:val="1016"/>
        </w:numPr>
        <w:pStyle w:val="Compact"/>
      </w:pPr>
      <w:r>
        <w:t xml:space="preserve">🚫 降仓触发：科创50继续显著弱于沪深300、下跌家数继续扩张、涨停减少而跌停增加，或高位题材加速兑现。</w:t>
      </w:r>
    </w:p>
    <w:p>
      <w:pPr>
        <w:numPr>
          <w:ilvl w:val="0"/>
          <w:numId w:val="1016"/>
        </w:numPr>
        <w:pStyle w:val="Compact"/>
      </w:pPr>
      <w:r>
        <w:t xml:space="preserve">⚠️ 明日催化剂与具体事件未进入本轮结构化数据，均按未核验处理；不以未经确认的消息扩大隔夜风险仓位。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9" w:name="数据质量与风险声明"/>
      <w:r>
        <w:t xml:space="preserve">⚠️ 数据质量与风险声明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📊 指数由新浪主源、东方财富与腾讯交叉验证，结果一致；市场宽度与成交额为同花顺单源，可使用但已明确标注。</w:t>
      </w:r>
    </w:p>
    <w:p>
      <w:pPr>
        <w:numPr>
          <w:ilvl w:val="0"/>
          <w:numId w:val="1017"/>
        </w:numPr>
        <w:pStyle w:val="Compact"/>
      </w:pPr>
      <w:r>
        <w:t xml:space="preserve">💰 成交额比较口径为</w:t>
      </w:r>
      <w:r>
        <w:t xml:space="preserve"> </w:t>
      </w:r>
      <w:r>
        <w:rPr>
          <w:rStyle w:val="VerbatimChar"/>
        </w:rPr>
        <w:t xml:space="preserve">unverified</w:t>
      </w:r>
      <w:r>
        <w:t xml:space="preserve">，本报告只引用当日 20510.48 亿元及接口列示的昨日 17802.38 亿元原始金额，不引用变化百分比。</w:t>
      </w:r>
    </w:p>
    <w:p>
      <w:pPr>
        <w:numPr>
          <w:ilvl w:val="0"/>
          <w:numId w:val="1017"/>
        </w:numPr>
        <w:pStyle w:val="Compact"/>
      </w:pPr>
      <w:r>
        <w:t xml:space="preserve">⚠️ 资金流入/流出 TOP10、板块 TOP10/TOP5、TOP20 龙头股、涨跌停样本、沪深300ETF净申购和核心个股多源校验均不可用；报告未补造榜单、金额或排名。</w:t>
      </w:r>
    </w:p>
    <w:p>
      <w:pPr>
        <w:numPr>
          <w:ilvl w:val="0"/>
          <w:numId w:val="1017"/>
        </w:numPr>
        <w:pStyle w:val="Compact"/>
      </w:pPr>
      <w:r>
        <w:t xml:space="preserve">🔎 华泰</w:t>
      </w:r>
      <w:r>
        <w:t xml:space="preserve"> </w:t>
      </w:r>
      <w:r>
        <w:rPr>
          <w:rStyle w:val="VerbatimChar"/>
        </w:rPr>
        <w:t xml:space="preserve">market_insight</w:t>
      </w:r>
      <w:r>
        <w:t xml:space="preserve"> </w:t>
      </w:r>
      <w:r>
        <w:t xml:space="preserve">与</w:t>
      </w:r>
      <w:r>
        <w:t xml:space="preserve"> </w:t>
      </w:r>
      <w:r>
        <w:rPr>
          <w:rStyle w:val="VerbatimChar"/>
        </w:rPr>
        <w:t xml:space="preserve">select_stock</w:t>
      </w:r>
      <w:r>
        <w:t xml:space="preserve"> </w:t>
      </w:r>
      <w:r>
        <w:t xml:space="preserve">仅作补充单源线索，未替代新浪/东方财富/腾讯结构化事实；冲突或缺失处均已降级。</w:t>
      </w:r>
    </w:p>
    <w:p>
      <w:pPr>
        <w:numPr>
          <w:ilvl w:val="0"/>
          <w:numId w:val="1017"/>
        </w:numPr>
        <w:pStyle w:val="Compact"/>
      </w:pPr>
      <w:r>
        <w:t xml:space="preserve">🚫 本报告为收盘研究记录，不构成收益承诺或无条件交易指令。</w:t>
      </w:r>
    </w:p>
    <w:p>
      <w:pPr>
        <w:pStyle w:val="BlockText"/>
      </w:pPr>
      <w:r>
        <w:t xml:space="preserve">📊 生成时间：2026-09-04 15:15（北京时间，Asia/Shanghai）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2026-09-04T07:21:23Z</dcterms:created>
  <dcterms:modified xsi:type="dcterms:W3CDTF">2026-09-04T07:21:23Z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