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9-03周四"/>
      <w:r>
        <w:t xml:space="preserve">🌅 盘前简报 | 2026-09-03（周四）</w:t>
      </w:r>
      <w:bookmarkEnd w:id="20"/>
    </w:p>
    <w:p>
      <w:pPr>
        <w:pStyle w:val="BlockText"/>
      </w:pPr>
      <w:r>
        <w:t xml:space="preserve">数据基准：A股行情截至 2026-09-02 收盘；外盘及华泰补充行情截至采集 JSON 所列时间。关键源覆盖率为 3/7（42.86%）。资金流、板块排行、活跃股、涨跌停样本、公告及核心个股多源校验采集失败，相关内容均降级为</w:t>
      </w:r>
      <w:r>
        <w:t xml:space="preserve">“</w:t>
      </w:r>
      <w:r>
        <w:t xml:space="preserve">未核验</w:t>
      </w:r>
      <w:r>
        <w:t xml:space="preserve">”</w:t>
      </w:r>
      <w:r>
        <w:t xml:space="preserve">。</w:t>
      </w:r>
    </w:p>
    <w:p>
      <w:r>
        <w:pict>
          <v:rect style="width:0;height:1.5pt" o:hralign="center" o:hrstd="t" o:hr="t"/>
        </w:pict>
      </w:r>
    </w:p>
    <w:p>
      <w:pPr>
        <w:pStyle w:val="Heading2"/>
      </w:pPr>
      <w:bookmarkStart w:id="21" w:name="隔夜全球市场"/>
      <w:r>
        <w:t xml:space="preserve">🌐 隔夜全球市场</w:t>
      </w:r>
      <w:bookmarkEnd w:id="21"/>
    </w:p>
    <w:p>
      <w:pPr>
        <w:numPr>
          <w:ilvl w:val="0"/>
          <w:numId w:val="1001"/>
        </w:numPr>
        <w:pStyle w:val="Compact"/>
      </w:pPr>
      <w:r>
        <w:t xml:space="preserve">📈 富时中国 A50 期指报 14588.7，涨 0.15%；恒生指数 9 月 2 日收于 25329.73，跌 0.07%。A50略有修复，但港股前收偏平，盘前外部映射中性。</w:t>
      </w:r>
    </w:p>
    <w:p>
      <w:pPr>
        <w:numPr>
          <w:ilvl w:val="0"/>
          <w:numId w:val="1001"/>
        </w:numPr>
        <w:pStyle w:val="Compact"/>
      </w:pPr>
      <w:r>
        <w:t xml:space="preserve">💱 美元离岸人民币报 6.7176，跌 0.01%，人民币波动有限。</w:t>
      </w:r>
    </w:p>
    <w:p>
      <w:pPr>
        <w:numPr>
          <w:ilvl w:val="0"/>
          <w:numId w:val="1001"/>
        </w:numPr>
        <w:pStyle w:val="Compact"/>
      </w:pPr>
      <w:r>
        <w:t xml:space="preserve">🟡 COMEX 黄金报 4431.417，涨 0.38%；伦铜报 14230.0，涨 0.10%，避险与资源品价格均偏强。</w:t>
      </w:r>
    </w:p>
    <w:p>
      <w:pPr>
        <w:numPr>
          <w:ilvl w:val="0"/>
          <w:numId w:val="1001"/>
        </w:numPr>
        <w:pStyle w:val="Compact"/>
      </w:pPr>
      <w:r>
        <w:t xml:space="preserve">🛢️ WTI 原油报 90.764，跌 0.27%；央视确认布伦特原油 9 月 1 日收盘超过 94 美元。中东冲突强化油价风险溢价，但WTI盘前回落，油气方向不宜按单边上涨追高。</w:t>
      </w:r>
    </w:p>
    <w:p>
      <w:pPr>
        <w:numPr>
          <w:ilvl w:val="0"/>
          <w:numId w:val="1001"/>
        </w:numPr>
        <w:pStyle w:val="Compact"/>
      </w:pPr>
      <w:r>
        <w:t xml:space="preserve">⚠️ 美股三大指数、重点中概股及欧洲主要股指的结构化点位和涨跌幅未进入采集 JSON，具体数值未核验，不补写。</w:t>
      </w:r>
    </w:p>
    <w:p>
      <w:r>
        <w:pict>
          <v:rect style="width:0;height:1.5pt" o:hralign="center" o:hrstd="t" o:hr="t"/>
        </w:pict>
      </w:r>
    </w:p>
    <w:p>
      <w:pPr>
        <w:pStyle w:val="Heading2"/>
      </w:pPr>
      <w:bookmarkStart w:id="22" w:name="新闻联播政策面"/>
      <w:r>
        <w:t xml:space="preserve">📺 新闻联播政策面</w:t>
      </w:r>
      <w:bookmarkEnd w:id="22"/>
    </w:p>
    <w:p>
      <w:pPr>
        <w:pStyle w:val="Heading3"/>
      </w:pPr>
      <w:bookmarkStart w:id="23" w:name="总体分析"/>
      <w:r>
        <w:t xml:space="preserve">📌 总体分析</w:t>
      </w:r>
      <w:bookmarkEnd w:id="23"/>
    </w:p>
    <w:p>
      <w:pPr>
        <w:numPr>
          <w:ilvl w:val="0"/>
          <w:numId w:val="1002"/>
        </w:numPr>
        <w:pStyle w:val="Compact"/>
      </w:pPr>
      <w:r>
        <w:t xml:space="preserve">🚀 9 月 2 日《新闻联播》目录共 12 条，12 条详情全部采集成功；央视来源页、本地存档与结构化数据一致。</w:t>
      </w:r>
    </w:p>
    <w:p>
      <w:pPr>
        <w:numPr>
          <w:ilvl w:val="0"/>
          <w:numId w:val="1002"/>
        </w:numPr>
        <w:pStyle w:val="Compact"/>
      </w:pPr>
      <w:r>
        <w:t xml:space="preserve">🌍 中埃合作是最明确的政策主线：双方签署共建</w:t>
      </w:r>
      <w:r>
        <w:t xml:space="preserve">“</w:t>
      </w:r>
      <w:r>
        <w:t xml:space="preserve">一带一路</w:t>
      </w:r>
      <w:r>
        <w:t xml:space="preserve">”</w:t>
      </w:r>
      <w:r>
        <w:t xml:space="preserve">、人工智能、经贸、产供链等文件，访问期间另有数字经济、科技、教育、交通等领域 20 余份合作文件。A股映射集中在基建、电力、通信、绿色能源、电动汽车、航空航天和数字经济。</w:t>
      </w:r>
    </w:p>
    <w:p>
      <w:pPr>
        <w:numPr>
          <w:ilvl w:val="0"/>
          <w:numId w:val="1002"/>
        </w:numPr>
        <w:pStyle w:val="Compact"/>
      </w:pPr>
      <w:r>
        <w:t xml:space="preserve">💰 科创金融支持具有实质力度：科技创新和技术改造再贷款额度增至 1.2 万亿元、利率降至 1.25%；科技型中小企业贷款同比增长 20.1%。利好科技制造融资环境，但短线仍需板块资金确认。</w:t>
      </w:r>
    </w:p>
    <w:p>
      <w:pPr>
        <w:numPr>
          <w:ilvl w:val="0"/>
          <w:numId w:val="1002"/>
        </w:numPr>
        <w:pStyle w:val="Compact"/>
      </w:pPr>
      <w:r>
        <w:t xml:space="preserve">🌾 秋粮稳产、水肥一体化和无人机植保获得政策与应用数据支撑；新版基本药物目录共收录 794 种药品，农业科技、农机植保、基层医药具备事件线索。</w:t>
      </w:r>
    </w:p>
    <w:p>
      <w:pPr>
        <w:numPr>
          <w:ilvl w:val="0"/>
          <w:numId w:val="1002"/>
        </w:numPr>
        <w:pStyle w:val="Compact"/>
      </w:pPr>
      <w:r>
        <w:t xml:space="preserve">⚠️ 美国与伊朗相互军事打击、中东风险升级，可能抬升油气、黄金和军工风险溢价，同时压制航空运输及能源成本敏感行业。</w:t>
      </w:r>
    </w:p>
    <w:p>
      <w:pPr>
        <w:numPr>
          <w:ilvl w:val="0"/>
          <w:numId w:val="1002"/>
        </w:numPr>
        <w:pStyle w:val="Compact"/>
      </w:pPr>
      <w:r>
        <w:t xml:space="preserve">💡 今日验证重点：中埃合作是否带动基建/电网/出海链放量，科创金融能否与AI算力硬件共振，油气能否在WTI回落背景下避免高开兑现。资金流和板块榜单缺失，盘前不把任何方向认定为已确认主线。</w:t>
      </w:r>
    </w:p>
    <w:p>
      <w:pPr>
        <w:pStyle w:val="Heading3"/>
      </w:pPr>
      <w:bookmarkStart w:id="24" w:name="逐条新闻解读"/>
      <w:r>
        <w:t xml:space="preserve">📰 逐条新闻解读</w:t>
      </w:r>
      <w:bookmarkEnd w:id="24"/>
    </w:p>
    <w:p>
      <w:pPr>
        <w:pStyle w:val="Heading4"/>
      </w:pPr>
      <w:bookmarkStart w:id="25" w:name="习近平抵达开罗对埃及进行国事访问"/>
      <w:r>
        <w:t xml:space="preserve">习近平抵达开罗对埃及进行国事访问</w:t>
      </w:r>
      <w:bookmarkEnd w:id="25"/>
    </w:p>
    <w:p>
      <w:pPr>
        <w:numPr>
          <w:ilvl w:val="0"/>
          <w:numId w:val="1003"/>
        </w:numPr>
        <w:pStyle w:val="Compact"/>
      </w:pPr>
      <w:r>
        <w:t xml:space="preserve">A股影响：偏利好</w:t>
      </w:r>
    </w:p>
    <w:p>
      <w:pPr>
        <w:numPr>
          <w:ilvl w:val="0"/>
          <w:numId w:val="1003"/>
        </w:numPr>
        <w:pStyle w:val="Compact"/>
      </w:pPr>
      <w:r>
        <w:t xml:space="preserve">相关板块：一带一路、中埃贸易、工程承包、跨境物流</w:t>
      </w:r>
    </w:p>
    <w:p>
      <w:pPr>
        <w:numPr>
          <w:ilvl w:val="0"/>
          <w:numId w:val="1003"/>
        </w:numPr>
        <w:pStyle w:val="Compact"/>
      </w:pPr>
      <w:r>
        <w:t xml:space="preserve">核心解读：元首访问为后续经贸与项目合作提供政策框架，属于中期预期改善，不等同于上市公司订单立即落地。</w:t>
      </w:r>
    </w:p>
    <w:p>
      <w:pPr>
        <w:numPr>
          <w:ilvl w:val="0"/>
          <w:numId w:val="1003"/>
        </w:numPr>
        <w:pStyle w:val="Compact"/>
      </w:pPr>
      <w:r>
        <w:t xml:space="preserve">验证条件：观察后续项目、订单公告及基建出海板块资金联动；若只有消息刺激而无成交承接，短线映射失效。</w:t>
      </w:r>
    </w:p>
    <w:p>
      <w:pPr>
        <w:pStyle w:val="Heading4"/>
      </w:pPr>
      <w:bookmarkStart w:id="26" w:name="习近平出席埃及总统举行的欢迎仪式"/>
      <w:r>
        <w:t xml:space="preserve">习近平出席埃及总统举行的欢迎仪式</w:t>
      </w:r>
      <w:bookmarkEnd w:id="26"/>
    </w:p>
    <w:p>
      <w:pPr>
        <w:numPr>
          <w:ilvl w:val="0"/>
          <w:numId w:val="1004"/>
        </w:numPr>
        <w:pStyle w:val="Compact"/>
      </w:pPr>
      <w:r>
        <w:t xml:space="preserve">A股影响：中性</w:t>
      </w:r>
    </w:p>
    <w:p>
      <w:pPr>
        <w:numPr>
          <w:ilvl w:val="0"/>
          <w:numId w:val="1004"/>
        </w:numPr>
        <w:pStyle w:val="Compact"/>
      </w:pPr>
      <w:r>
        <w:t xml:space="preserve">相关板块：中埃合作主题</w:t>
      </w:r>
    </w:p>
    <w:p>
      <w:pPr>
        <w:numPr>
          <w:ilvl w:val="0"/>
          <w:numId w:val="1004"/>
        </w:numPr>
        <w:pStyle w:val="Compact"/>
      </w:pPr>
      <w:r>
        <w:t xml:space="preserve">核心解读：主要确认高规格外交关系，本条未披露独立产业项目或量化政策。</w:t>
      </w:r>
    </w:p>
    <w:p>
      <w:pPr>
        <w:numPr>
          <w:ilvl w:val="0"/>
          <w:numId w:val="1004"/>
        </w:numPr>
        <w:pStyle w:val="Compact"/>
      </w:pPr>
      <w:r>
        <w:t xml:space="preserve">验证条件：须由后续会谈成果和企业订单验证，不能单独据此交易。</w:t>
      </w:r>
    </w:p>
    <w:p>
      <w:pPr>
        <w:pStyle w:val="Heading4"/>
      </w:pPr>
      <w:bookmarkStart w:id="27" w:name="习近平同埃及总统会谈"/>
      <w:r>
        <w:t xml:space="preserve">习近平同埃及总统会谈</w:t>
      </w:r>
      <w:bookmarkEnd w:id="27"/>
    </w:p>
    <w:p>
      <w:pPr>
        <w:numPr>
          <w:ilvl w:val="0"/>
          <w:numId w:val="1005"/>
        </w:numPr>
        <w:pStyle w:val="Compact"/>
      </w:pPr>
      <w:r>
        <w:t xml:space="preserve">A股影响：利好</w:t>
      </w:r>
    </w:p>
    <w:p>
      <w:pPr>
        <w:numPr>
          <w:ilvl w:val="0"/>
          <w:numId w:val="1005"/>
        </w:numPr>
        <w:pStyle w:val="Compact"/>
      </w:pPr>
      <w:r>
        <w:t xml:space="preserve">相关板块：一带一路、基建、电力、通信、绿色能源、电动汽车、航空航天、人工智能、数字经济、现代农业</w:t>
      </w:r>
    </w:p>
    <w:p>
      <w:pPr>
        <w:numPr>
          <w:ilvl w:val="0"/>
          <w:numId w:val="1005"/>
        </w:numPr>
        <w:pStyle w:val="Compact"/>
      </w:pPr>
      <w:r>
        <w:t xml:space="preserve">核心解读：双方明确传统合作与新产业方向，并见证签署共建</w:t>
      </w:r>
      <w:r>
        <w:t xml:space="preserve">“</w:t>
      </w:r>
      <w:r>
        <w:t xml:space="preserve">一带一路</w:t>
      </w:r>
      <w:r>
        <w:t xml:space="preserve">”</w:t>
      </w:r>
      <w:r>
        <w:t xml:space="preserve">、人工智能、经贸、产供链等文件；访问期间另签署数字经济、科技、教育、交通等领域 20 余份合作文件，政策力度高于例行表态。</w:t>
      </w:r>
    </w:p>
    <w:p>
      <w:pPr>
        <w:numPr>
          <w:ilvl w:val="0"/>
          <w:numId w:val="1005"/>
        </w:numPr>
        <w:pStyle w:val="Compact"/>
      </w:pPr>
      <w:r>
        <w:t xml:space="preserve">验证条件：相关板块需出现资金净流入、成交放大和核心标的联动；项目落地不及预期或板块高开低走则短线逻辑失效。</w:t>
      </w:r>
    </w:p>
    <w:p>
      <w:pPr>
        <w:pStyle w:val="Heading4"/>
      </w:pPr>
      <w:bookmarkStart w:id="28" w:name="习近平致电祝贺挪威国王哈康八世即位"/>
      <w:r>
        <w:t xml:space="preserve">习近平致电祝贺挪威国王哈康八世即位</w:t>
      </w:r>
      <w:bookmarkEnd w:id="28"/>
    </w:p>
    <w:p>
      <w:pPr>
        <w:numPr>
          <w:ilvl w:val="0"/>
          <w:numId w:val="1006"/>
        </w:numPr>
        <w:pStyle w:val="Compact"/>
      </w:pPr>
      <w:r>
        <w:t xml:space="preserve">A股影响：中性</w:t>
      </w:r>
    </w:p>
    <w:p>
      <w:pPr>
        <w:numPr>
          <w:ilvl w:val="0"/>
          <w:numId w:val="1006"/>
        </w:numPr>
        <w:pStyle w:val="Compact"/>
      </w:pPr>
      <w:r>
        <w:t xml:space="preserve">相关板块：中挪经贸；无直接强映射</w:t>
      </w:r>
    </w:p>
    <w:p>
      <w:pPr>
        <w:numPr>
          <w:ilvl w:val="0"/>
          <w:numId w:val="1006"/>
        </w:numPr>
        <w:pStyle w:val="Compact"/>
      </w:pPr>
      <w:r>
        <w:t xml:space="preserve">核心解读：释放双边友好延续信号，但没有新增产业协议或可量化政策。</w:t>
      </w:r>
    </w:p>
    <w:p>
      <w:pPr>
        <w:numPr>
          <w:ilvl w:val="0"/>
          <w:numId w:val="1006"/>
        </w:numPr>
        <w:pStyle w:val="Compact"/>
      </w:pPr>
      <w:r>
        <w:t xml:space="preserve">验证条件：以后续经贸合作或企业订单为准，本条不作为独立交易依据。</w:t>
      </w:r>
    </w:p>
    <w:p>
      <w:pPr>
        <w:pStyle w:val="Heading4"/>
      </w:pPr>
      <w:bookmarkStart w:id="29" w:name="平语近人习近平喜欢的典故阿拉伯语版在埃及主流媒体播出"/>
      <w:r>
        <w:t xml:space="preserve">《平</w:t>
      </w:r>
      <w:r>
        <w:t xml:space="preserve">“</w:t>
      </w:r>
      <w:r>
        <w:t xml:space="preserve">语</w:t>
      </w:r>
      <w:r>
        <w:t xml:space="preserve">”</w:t>
      </w:r>
      <w:r>
        <w:t xml:space="preserve">近人——习近平喜欢的典故》（阿拉伯语版）在埃及主流媒体播出</w:t>
      </w:r>
      <w:bookmarkEnd w:id="29"/>
    </w:p>
    <w:p>
      <w:pPr>
        <w:numPr>
          <w:ilvl w:val="0"/>
          <w:numId w:val="1007"/>
        </w:numPr>
        <w:pStyle w:val="Compact"/>
      </w:pPr>
      <w:r>
        <w:t xml:space="preserve">A股影响：中性</w:t>
      </w:r>
    </w:p>
    <w:p>
      <w:pPr>
        <w:numPr>
          <w:ilvl w:val="0"/>
          <w:numId w:val="1007"/>
        </w:numPr>
        <w:pStyle w:val="Compact"/>
      </w:pPr>
      <w:r>
        <w:t xml:space="preserve">相关板块：文化传播、国际传媒</w:t>
      </w:r>
    </w:p>
    <w:p>
      <w:pPr>
        <w:numPr>
          <w:ilvl w:val="0"/>
          <w:numId w:val="1007"/>
        </w:numPr>
        <w:pStyle w:val="Compact"/>
      </w:pPr>
      <w:r>
        <w:t xml:space="preserve">核心解读：有利于中埃人文交流和国际传播，直接盈利传导较弱。</w:t>
      </w:r>
    </w:p>
    <w:p>
      <w:pPr>
        <w:numPr>
          <w:ilvl w:val="0"/>
          <w:numId w:val="1007"/>
        </w:numPr>
        <w:pStyle w:val="Compact"/>
      </w:pPr>
      <w:r>
        <w:t xml:space="preserve">验证条件：需有版权、内容出海或商业合作订单，缺少订单时不作交易映射。</w:t>
      </w:r>
    </w:p>
    <w:p>
      <w:pPr>
        <w:pStyle w:val="Heading4"/>
      </w:pPr>
      <w:bookmarkStart w:id="30" w:name="秋粮主产区分类施策-全力夺取丰收"/>
      <w:r>
        <w:t xml:space="preserve">秋粮主产区分类施策 全力夺取丰收</w:t>
      </w:r>
      <w:bookmarkEnd w:id="30"/>
    </w:p>
    <w:p>
      <w:pPr>
        <w:numPr>
          <w:ilvl w:val="0"/>
          <w:numId w:val="1008"/>
        </w:numPr>
        <w:pStyle w:val="Compact"/>
      </w:pPr>
      <w:r>
        <w:t xml:space="preserve">A股影响：偏利好</w:t>
      </w:r>
    </w:p>
    <w:p>
      <w:pPr>
        <w:numPr>
          <w:ilvl w:val="0"/>
          <w:numId w:val="1008"/>
        </w:numPr>
        <w:pStyle w:val="Compact"/>
      </w:pPr>
      <w:r>
        <w:t xml:space="preserve">相关板块：水肥一体化、农业科技、植保无人机、种植业、防灾减灾</w:t>
      </w:r>
    </w:p>
    <w:p>
      <w:pPr>
        <w:numPr>
          <w:ilvl w:val="0"/>
          <w:numId w:val="1008"/>
        </w:numPr>
        <w:pStyle w:val="Compact"/>
      </w:pPr>
      <w:r>
        <w:t xml:space="preserve">核心解读：山东水肥一体化面积达到 930 万亩，全国去年应用面积达到 8800 万亩；灾后恢复使用多光谱无人机和飞防，政策从稳产延伸到节水灌溉与智能植保。</w:t>
      </w:r>
    </w:p>
    <w:p>
      <w:pPr>
        <w:numPr>
          <w:ilvl w:val="0"/>
          <w:numId w:val="1008"/>
        </w:numPr>
        <w:pStyle w:val="Compact"/>
      </w:pPr>
      <w:r>
        <w:t xml:space="preserve">验证条件：农业科技、灌溉设备和植保板块需出现订单或资金共振；秋粮长势整体良好可能限制粮价弹性，板块无量冲高不追。</w:t>
      </w:r>
    </w:p>
    <w:p>
      <w:pPr>
        <w:pStyle w:val="Heading4"/>
      </w:pPr>
      <w:bookmarkStart w:id="31" w:name="上半年信贷资金加速流向科创企业"/>
      <w:r>
        <w:t xml:space="preserve">上半年信贷资金加速流向科创企业</w:t>
      </w:r>
      <w:bookmarkEnd w:id="31"/>
    </w:p>
    <w:p>
      <w:pPr>
        <w:numPr>
          <w:ilvl w:val="0"/>
          <w:numId w:val="1009"/>
        </w:numPr>
        <w:pStyle w:val="Compact"/>
      </w:pPr>
      <w:r>
        <w:t xml:space="preserve">A股影响：利好</w:t>
      </w:r>
    </w:p>
    <w:p>
      <w:pPr>
        <w:numPr>
          <w:ilvl w:val="0"/>
          <w:numId w:val="1009"/>
        </w:numPr>
        <w:pStyle w:val="Compact"/>
      </w:pPr>
      <w:r>
        <w:t xml:space="preserve">相关板块：科创金融、专精特新、科技制造、银行科技贷款</w:t>
      </w:r>
    </w:p>
    <w:p>
      <w:pPr>
        <w:numPr>
          <w:ilvl w:val="0"/>
          <w:numId w:val="1009"/>
        </w:numPr>
        <w:pStyle w:val="Compact"/>
      </w:pPr>
      <w:r>
        <w:t xml:space="preserve">核心解读：科技创新和技术改造再贷款额度增至 1.2 万亿元、利率降至 1.25%；6 月末 30.56 万家科技型中小企业获得信贷支持，获贷率 50.8%，贷款同比增长 20.1%，属于可量化的融资支持。</w:t>
      </w:r>
    </w:p>
    <w:p>
      <w:pPr>
        <w:numPr>
          <w:ilvl w:val="0"/>
          <w:numId w:val="1009"/>
        </w:numPr>
        <w:pStyle w:val="Compact"/>
      </w:pPr>
      <w:r>
        <w:t xml:space="preserve">验证条件：科技硬件和科创企业需出现成交、资金和龙头共振；若成长指数继续显著弱于沪指，政策映射先按中期逻辑处理。</w:t>
      </w:r>
    </w:p>
    <w:p>
      <w:pPr>
        <w:pStyle w:val="Heading4"/>
      </w:pPr>
      <w:bookmarkStart w:id="32" w:name="西藏吉隆口岸核心区域陆路救援通道实现畅通"/>
      <w:r>
        <w:t xml:space="preserve">西藏吉隆口岸核心区域陆路救援通道实现畅通</w:t>
      </w:r>
      <w:bookmarkEnd w:id="32"/>
    </w:p>
    <w:p>
      <w:pPr>
        <w:numPr>
          <w:ilvl w:val="0"/>
          <w:numId w:val="1010"/>
        </w:numPr>
        <w:pStyle w:val="Compact"/>
      </w:pPr>
      <w:r>
        <w:t xml:space="preserve">A股影响：中性</w:t>
      </w:r>
    </w:p>
    <w:p>
      <w:pPr>
        <w:numPr>
          <w:ilvl w:val="0"/>
          <w:numId w:val="1010"/>
        </w:numPr>
        <w:pStyle w:val="Compact"/>
      </w:pPr>
      <w:r>
        <w:t xml:space="preserve">相关板块：应急装备、工程机械、灾害监测、保险</w:t>
      </w:r>
    </w:p>
    <w:p>
      <w:pPr>
        <w:numPr>
          <w:ilvl w:val="0"/>
          <w:numId w:val="1010"/>
        </w:numPr>
        <w:pStyle w:val="Compact"/>
      </w:pPr>
      <w:r>
        <w:t xml:space="preserve">核心解读：救援使用大型机械、生命探测和监测设备，保险业初步估损 4.5 亿元、银行应急保障现金超过 2 亿元；事件以救灾为主，不宜炒作灾情。</w:t>
      </w:r>
    </w:p>
    <w:p>
      <w:pPr>
        <w:numPr>
          <w:ilvl w:val="0"/>
          <w:numId w:val="1010"/>
        </w:numPr>
        <w:pStyle w:val="Compact"/>
      </w:pPr>
      <w:r>
        <w:t xml:space="preserve">验证条件：仅在后续防灾采购或重建订单确认时观察产业机会；无订单增量则无直接交易映射。</w:t>
      </w:r>
    </w:p>
    <w:p>
      <w:pPr>
        <w:pStyle w:val="Heading4"/>
      </w:pPr>
      <w:bookmarkStart w:id="33" w:name="国内联播快讯"/>
      <w:r>
        <w:t xml:space="preserve">国内联播快讯</w:t>
      </w:r>
      <w:bookmarkEnd w:id="33"/>
    </w:p>
    <w:p>
      <w:pPr>
        <w:numPr>
          <w:ilvl w:val="0"/>
          <w:numId w:val="1011"/>
        </w:numPr>
        <w:pStyle w:val="Compact"/>
      </w:pPr>
      <w:r>
        <w:t xml:space="preserve">A股影响：偏利好</w:t>
      </w:r>
    </w:p>
    <w:p>
      <w:pPr>
        <w:numPr>
          <w:ilvl w:val="0"/>
          <w:numId w:val="1011"/>
        </w:numPr>
        <w:pStyle w:val="Compact"/>
      </w:pPr>
      <w:r>
        <w:t xml:space="preserve">相关板块：基层医药、互联网内容治理、中埃贸易、铜金资源、影视传媒、渔业安全</w:t>
      </w:r>
    </w:p>
    <w:p>
      <w:pPr>
        <w:numPr>
          <w:ilvl w:val="0"/>
          <w:numId w:val="1011"/>
        </w:numPr>
        <w:pStyle w:val="Compact"/>
      </w:pPr>
      <w:r>
        <w:t xml:space="preserve">核心解读：新版基本药物目录收录 794 种药品；前 7 个月中埃进出口 951.9 亿元、增长 18.7%，机电产品出口增长 23.9%；安徽铜金矿勘查获重大突破；暑期档票房 124.98 亿元。多条线索分散，需分别验证。</w:t>
      </w:r>
    </w:p>
    <w:p>
      <w:pPr>
        <w:numPr>
          <w:ilvl w:val="0"/>
          <w:numId w:val="1011"/>
        </w:numPr>
        <w:pStyle w:val="Compact"/>
      </w:pPr>
      <w:r>
        <w:t xml:space="preserve">验证条件：医药需看目录品种和放量，资源需看勘探转储量及金铜价格，传媒需看后续票房与公司业绩；互联网内容分发服务商还需评估合规成本。</w:t>
      </w:r>
    </w:p>
    <w:p>
      <w:pPr>
        <w:pStyle w:val="Heading4"/>
      </w:pPr>
      <w:bookmarkStart w:id="34" w:name="埃及各界人士表示习近平主席此次国事访问将开创埃中关系更加美好的未来"/>
      <w:r>
        <w:t xml:space="preserve">埃及各界人士表示习近平主席此次国事访问将开创埃中关系更加美好的未来</w:t>
      </w:r>
      <w:bookmarkEnd w:id="34"/>
    </w:p>
    <w:p>
      <w:pPr>
        <w:numPr>
          <w:ilvl w:val="0"/>
          <w:numId w:val="1012"/>
        </w:numPr>
        <w:pStyle w:val="Compact"/>
      </w:pPr>
      <w:r>
        <w:t xml:space="preserve">A股影响：中性</w:t>
      </w:r>
    </w:p>
    <w:p>
      <w:pPr>
        <w:numPr>
          <w:ilvl w:val="0"/>
          <w:numId w:val="1012"/>
        </w:numPr>
        <w:pStyle w:val="Compact"/>
      </w:pPr>
      <w:r>
        <w:t xml:space="preserve">相关板块：中埃合作主题</w:t>
      </w:r>
    </w:p>
    <w:p>
      <w:pPr>
        <w:numPr>
          <w:ilvl w:val="0"/>
          <w:numId w:val="1012"/>
        </w:numPr>
        <w:pStyle w:val="Compact"/>
      </w:pPr>
      <w:r>
        <w:t xml:space="preserve">核心解读：强化双边合作预期，但没有独立新增项目或产业数字。</w:t>
      </w:r>
    </w:p>
    <w:p>
      <w:pPr>
        <w:numPr>
          <w:ilvl w:val="0"/>
          <w:numId w:val="1012"/>
        </w:numPr>
        <w:pStyle w:val="Compact"/>
      </w:pPr>
      <w:r>
        <w:t xml:space="preserve">验证条件：以会谈成果执行、项目订单和贸易数据持续改善为准。</w:t>
      </w:r>
    </w:p>
    <w:p>
      <w:pPr>
        <w:pStyle w:val="Heading4"/>
      </w:pPr>
      <w:bookmarkStart w:id="35" w:name="美国对伊朗发动新一轮军事打击-伊朗回击美在多国基地"/>
      <w:r>
        <w:t xml:space="preserve">美国对伊朗发动新一轮军事打击 伊朗回击美在多国基地</w:t>
      </w:r>
      <w:bookmarkEnd w:id="35"/>
    </w:p>
    <w:p>
      <w:pPr>
        <w:numPr>
          <w:ilvl w:val="0"/>
          <w:numId w:val="1013"/>
        </w:numPr>
        <w:pStyle w:val="Compact"/>
      </w:pPr>
      <w:r>
        <w:t xml:space="preserve">A股影响：偏利空</w:t>
      </w:r>
    </w:p>
    <w:p>
      <w:pPr>
        <w:numPr>
          <w:ilvl w:val="0"/>
          <w:numId w:val="1013"/>
        </w:numPr>
        <w:pStyle w:val="Compact"/>
      </w:pPr>
      <w:r>
        <w:t xml:space="preserve">相关板块：利好油气、黄金、军工；承压航空、交通运输及能源成本敏感行业</w:t>
      </w:r>
    </w:p>
    <w:p>
      <w:pPr>
        <w:numPr>
          <w:ilvl w:val="0"/>
          <w:numId w:val="1013"/>
        </w:numPr>
        <w:pStyle w:val="Compact"/>
      </w:pPr>
      <w:r>
        <w:t xml:space="preserve">核心解读：冲突升级并涉及多国美军基地，央视确认布伦特原油 9 月 1 日收盘超过 94 美元，全球风险偏好和能源供应预期面临扰动。</w:t>
      </w:r>
    </w:p>
    <w:p>
      <w:pPr>
        <w:numPr>
          <w:ilvl w:val="0"/>
          <w:numId w:val="1013"/>
        </w:numPr>
        <w:pStyle w:val="Compact"/>
      </w:pPr>
      <w:r>
        <w:t xml:space="preserve">验证条件：油气与黄金需由商品价格续强和板块资金流入共同确认；若停火信号出现、WTI继续回落或相关板块高开低走，追涨逻辑失效。</w:t>
      </w:r>
    </w:p>
    <w:p>
      <w:pPr>
        <w:pStyle w:val="Heading4"/>
      </w:pPr>
      <w:bookmarkStart w:id="36" w:name="国际联播快讯"/>
      <w:r>
        <w:t xml:space="preserve">国际联播快讯</w:t>
      </w:r>
      <w:bookmarkEnd w:id="36"/>
    </w:p>
    <w:p>
      <w:pPr>
        <w:numPr>
          <w:ilvl w:val="0"/>
          <w:numId w:val="1014"/>
        </w:numPr>
        <w:pStyle w:val="Compact"/>
      </w:pPr>
      <w:r>
        <w:t xml:space="preserve">A股影响：偏利空</w:t>
      </w:r>
    </w:p>
    <w:p>
      <w:pPr>
        <w:numPr>
          <w:ilvl w:val="0"/>
          <w:numId w:val="1014"/>
        </w:numPr>
        <w:pStyle w:val="Compact"/>
      </w:pPr>
      <w:r>
        <w:t xml:space="preserve">相关板块：油气、黄金、生物医药；承压欧洲出口链与高估值成长</w:t>
      </w:r>
    </w:p>
    <w:p>
      <w:pPr>
        <w:numPr>
          <w:ilvl w:val="0"/>
          <w:numId w:val="1014"/>
        </w:numPr>
        <w:pStyle w:val="Compact"/>
      </w:pPr>
      <w:r>
        <w:t xml:space="preserve">核心解读：欧元区 8 月通胀率升至 3.3%，能源价格同比上涨 14.3%，利率预期偏紧；刚果（金）埃博拉疫情扩散带来公共卫生风险；加美贸易谈判分歧增加外贸不确定性。</w:t>
      </w:r>
    </w:p>
    <w:p>
      <w:pPr>
        <w:numPr>
          <w:ilvl w:val="0"/>
          <w:numId w:val="1014"/>
        </w:numPr>
        <w:pStyle w:val="Compact"/>
      </w:pPr>
      <w:r>
        <w:t xml:space="preserve">验证条件：观察欧洲利率预期、能源价格和外贸链订单；疫情主题仅在真实医药需求和公司业务相关性确认后观察，禁止纯情绪追涨。</w:t>
      </w:r>
    </w:p>
    <w:p>
      <w:r>
        <w:pict>
          <v:rect style="width:0;height:1.5pt" o:hralign="center" o:hrstd="t" o:hr="t"/>
        </w:pict>
      </w:r>
    </w:p>
    <w:p>
      <w:pPr>
        <w:pStyle w:val="Heading2"/>
      </w:pPr>
      <w:bookmarkStart w:id="37" w:name="今日重要公告"/>
      <w:r>
        <w:t xml:space="preserve">📋 今日重要公告</w:t>
      </w:r>
      <w:bookmarkEnd w:id="37"/>
    </w:p>
    <w:p>
      <w:pPr>
        <w:numPr>
          <w:ilvl w:val="0"/>
          <w:numId w:val="1015"/>
        </w:numPr>
        <w:pStyle w:val="Compact"/>
      </w:pPr>
      <w:r>
        <w:t xml:space="preserve">⚠️ 东方财富公告接口返回 HTTP 567，本次增减持、解禁、业绩、停复牌、重组、关注函及监管问询榜单均未核验。</w:t>
      </w:r>
    </w:p>
    <w:p>
      <w:pPr>
        <w:numPr>
          <w:ilvl w:val="0"/>
          <w:numId w:val="1015"/>
        </w:numPr>
        <w:pStyle w:val="Compact"/>
      </w:pPr>
      <w:r>
        <w:t xml:space="preserve">💡 开盘前必须以交易所正式公告复核实盘持仓与候选股；报告不补写任何未进入采集 JSON 的公告。</w:t>
      </w:r>
    </w:p>
    <w:p>
      <w:r>
        <w:pict>
          <v:rect style="width:0;height:1.5pt" o:hralign="center" o:hrstd="t" o:hr="t"/>
        </w:pict>
      </w:r>
    </w:p>
    <w:p>
      <w:pPr>
        <w:pStyle w:val="Heading2"/>
      </w:pPr>
      <w:bookmarkStart w:id="38" w:name="今日经济数据事件"/>
      <w:r>
        <w:t xml:space="preserve">📅 今日经济数据/事件</w:t>
      </w:r>
      <w:bookmarkEnd w:id="38"/>
    </w:p>
    <w:p>
      <w:pPr>
        <w:numPr>
          <w:ilvl w:val="0"/>
          <w:numId w:val="1016"/>
        </w:numPr>
        <w:pStyle w:val="Compact"/>
      </w:pPr>
      <w:r>
        <w:t xml:space="preserve">⚠️ 本次采集 JSON 未提供 2026-09-03 国内 CPI/PPI/PMI、社融/M2、央行公开市场操作或海外经济日历，具体发布时间与预期值未核验。</w:t>
      </w:r>
    </w:p>
    <w:p>
      <w:pPr>
        <w:numPr>
          <w:ilvl w:val="0"/>
          <w:numId w:val="1016"/>
        </w:numPr>
        <w:pStyle w:val="Compact"/>
      </w:pPr>
      <w:r>
        <w:t xml:space="preserve">📉 已确认背景是欧元区 8 月通胀率 3.3%、能源价格同比上涨 14.3%，欧洲利率预期可能偏紧，但这不是今日待公布日历。</w:t>
      </w:r>
    </w:p>
    <w:p>
      <w:pPr>
        <w:numPr>
          <w:ilvl w:val="0"/>
          <w:numId w:val="1016"/>
        </w:numPr>
        <w:pStyle w:val="Compact"/>
      </w:pPr>
      <w:r>
        <w:t xml:space="preserve">💡 今日只在官方数据发布后调整策略，不提前假设数据结果。</w:t>
      </w:r>
    </w:p>
    <w:p>
      <w:r>
        <w:pict>
          <v:rect style="width:0;height:1.5pt" o:hralign="center" o:hrstd="t" o:hr="t"/>
        </w:pict>
      </w:r>
    </w:p>
    <w:p>
      <w:pPr>
        <w:pStyle w:val="Heading2"/>
      </w:pPr>
      <w:bookmarkStart w:id="39" w:name="全球重要事件"/>
      <w:r>
        <w:t xml:space="preserve">🌍 全球重要事件</w:t>
      </w:r>
      <w:bookmarkEnd w:id="39"/>
    </w:p>
    <w:p>
      <w:pPr>
        <w:numPr>
          <w:ilvl w:val="0"/>
          <w:numId w:val="1017"/>
        </w:numPr>
        <w:pStyle w:val="Compact"/>
      </w:pPr>
      <w:r>
        <w:t xml:space="preserve">🛢️ 美伊相互军事打击：布伦特原油 9 月 1 日收盘超过 94 美元，但盘前 WTI 报 90.764、跌 0.27%。油气有事件溢价，航空与高能耗下游面临成本风险，同时警惕冲突消息反转。</w:t>
      </w:r>
    </w:p>
    <w:p>
      <w:pPr>
        <w:numPr>
          <w:ilvl w:val="0"/>
          <w:numId w:val="1017"/>
        </w:numPr>
        <w:pStyle w:val="Compact"/>
      </w:pPr>
      <w:r>
        <w:t xml:space="preserve">🌍 中埃国事访问：双方签署人工智能、经贸、产供链等合作文件，另有数字经济、科技、教育、交通等领域 20 余份文件，基建、电力、通信和新能源出海具备中期催化。</w:t>
      </w:r>
    </w:p>
    <w:p>
      <w:pPr>
        <w:numPr>
          <w:ilvl w:val="0"/>
          <w:numId w:val="1017"/>
        </w:numPr>
        <w:pStyle w:val="Compact"/>
      </w:pPr>
      <w:r>
        <w:t xml:space="preserve">🟡 欧元区通胀与黄金：欧元区通胀升至 3.3%，COMEX 黄金报 4431.417、涨 0.38%，避险资产偏强，高估值成长仍受全球利率预期约束。</w:t>
      </w:r>
    </w:p>
    <w:p>
      <w:pPr>
        <w:numPr>
          <w:ilvl w:val="0"/>
          <w:numId w:val="1017"/>
        </w:numPr>
        <w:pStyle w:val="Compact"/>
      </w:pPr>
      <w:r>
        <w:t xml:space="preserve">⚠️ 其他科技巨头发布、加密资产、供应链中断及今日国际会议未在采集 JSON 中核验，不补写具体结论。</w:t>
      </w:r>
    </w:p>
    <w:p>
      <w:r>
        <w:pict>
          <v:rect style="width:0;height:1.5pt" o:hralign="center" o:hrstd="t" o:hr="t"/>
        </w:pict>
      </w:r>
    </w:p>
    <w:p>
      <w:pPr>
        <w:pStyle w:val="Heading2"/>
      </w:pPr>
      <w:bookmarkStart w:id="40" w:name="昨日复盘要点"/>
      <w:r>
        <w:t xml:space="preserve">📊 昨日复盘要点</w:t>
      </w:r>
      <w:bookmarkEnd w:id="40"/>
    </w:p>
    <w:p>
      <w:pPr>
        <w:numPr>
          <w:ilvl w:val="0"/>
          <w:numId w:val="1018"/>
        </w:numPr>
        <w:pStyle w:val="Compact"/>
      </w:pPr>
      <w:r>
        <w:t xml:space="preserve">📉 上证指数 3941.3862 点，跌 0.9674%；深证成指 13611.547 点，跌 1.8802%；创业板指 3312.243 点，跌 2.3925%；科创 50 跌 1.8172%，沪深 300 跌 1.3767%。新浪、东方财富、腾讯三源校验一致。</w:t>
      </w:r>
    </w:p>
    <w:p>
      <w:pPr>
        <w:numPr>
          <w:ilvl w:val="0"/>
          <w:numId w:val="1018"/>
        </w:numPr>
        <w:pStyle w:val="Compact"/>
      </w:pPr>
      <w:r>
        <w:t xml:space="preserve">📉 同花顺单源显示上涨 1541 家、下跌 3901 家、平盘 105 家，涨停 54 家、跌停 8 家；指数与多数个股同步走弱，成长指数跌幅更大，风格为</w:t>
      </w:r>
      <w:r>
        <w:t xml:space="preserve">“</w:t>
      </w:r>
      <w:r>
        <w:t xml:space="preserve">偏弱/防御</w:t>
      </w:r>
      <w:r>
        <w:t xml:space="preserve">”</w:t>
      </w:r>
      <w:r>
        <w:t xml:space="preserve">。</w:t>
      </w:r>
    </w:p>
    <w:p>
      <w:pPr>
        <w:numPr>
          <w:ilvl w:val="0"/>
          <w:numId w:val="1018"/>
        </w:numPr>
        <w:pStyle w:val="Compact"/>
      </w:pPr>
      <w:r>
        <w:t xml:space="preserve">💰 同花顺单源确认全市场成交额 18202.97 亿元，另列前一日 20519.47 亿元；比较口径为</w:t>
      </w:r>
      <w:r>
        <w:t xml:space="preserve"> </w:t>
      </w:r>
      <w:r>
        <w:rPr>
          <w:rStyle w:val="VerbatimChar"/>
        </w:rPr>
        <w:t xml:space="preserve">unverified</w:t>
      </w:r>
      <w:r>
        <w:t xml:space="preserve">，因此不使用变化百分比，只引用原始金额。</w:t>
      </w:r>
    </w:p>
    <w:p>
      <w:pPr>
        <w:numPr>
          <w:ilvl w:val="0"/>
          <w:numId w:val="1018"/>
        </w:numPr>
        <w:pStyle w:val="Compact"/>
      </w:pPr>
      <w:r>
        <w:t xml:space="preserve">⚠️ 资金流、板块表现、活跃股和涨跌停样本结构化采集失败，昨日资金主攻与撤退方向未核验。华泰</w:t>
      </w:r>
      <w:r>
        <w:t xml:space="preserve"> </w:t>
      </w:r>
      <w:r>
        <w:rPr>
          <w:rStyle w:val="VerbatimChar"/>
        </w:rPr>
        <w:t xml:space="preserve">select_stock</w:t>
      </w:r>
      <w:r>
        <w:t xml:space="preserve"> </w:t>
      </w:r>
      <w:r>
        <w:t xml:space="preserve">只能提供候选股单源线索，不能代替完整市场榜单。</w:t>
      </w:r>
    </w:p>
    <w:p>
      <w:r>
        <w:pict>
          <v:rect style="width:0;height:1.5pt" o:hralign="center" o:hrstd="t" o:hr="t"/>
        </w:pict>
      </w:r>
    </w:p>
    <w:p>
      <w:pPr>
        <w:pStyle w:val="Heading2"/>
      </w:pPr>
      <w:bookmarkStart w:id="41" w:name="昨日资金流向-top10"/>
      <w:r>
        <w:t xml:space="preserve">💰 昨日资金流向 TOP10</w:t>
      </w:r>
      <w:bookmarkEnd w:id="41"/>
    </w:p>
    <w:p>
      <w:pPr>
        <w:numPr>
          <w:ilvl w:val="0"/>
          <w:numId w:val="1019"/>
        </w:numPr>
        <w:pStyle w:val="Compact"/>
      </w:pPr>
      <w:r>
        <w:t xml:space="preserve">💰 资金流入 TOP10：未核验。</w:t>
      </w:r>
      <w:r>
        <w:rPr>
          <w:rStyle w:val="VerbatimChar"/>
        </w:rPr>
        <w:t xml:space="preserve">money_flow.ok=false</w:t>
      </w:r>
      <w:r>
        <w:t xml:space="preserve">，东方财富接口返回 HTTP 502，采集 JSON 没有真实完整榜单，禁止用华泰文本或搜索结果补齐。</w:t>
      </w:r>
    </w:p>
    <w:p>
      <w:pPr>
        <w:numPr>
          <w:ilvl w:val="0"/>
          <w:numId w:val="1019"/>
        </w:numPr>
        <w:pStyle w:val="Compact"/>
      </w:pPr>
      <w:r>
        <w:t xml:space="preserve">⚠️ 资金流出 TOP10：未核验。缺失榜单不写成真实排名，也不虚构金额。</w:t>
      </w:r>
    </w:p>
    <w:p>
      <w:pPr>
        <w:numPr>
          <w:ilvl w:val="0"/>
          <w:numId w:val="1019"/>
        </w:numPr>
        <w:pStyle w:val="Compact"/>
      </w:pPr>
      <w:r>
        <w:t xml:space="preserve">💡 华泰候选筛选仅确认部分个股单源数据：远东股份净流入 12.19 亿元、飞龙股份 6.77 亿元、杭电股份 5.74 亿元、山东玻纤 5.17 亿元、大位科技 5.00 亿元；这些不是全市场资金流入 TOP10，不据此替代缺失榜单。</w:t>
      </w:r>
    </w:p>
    <w:p>
      <w:r>
        <w:pict>
          <v:rect style="width:0;height:1.5pt" o:hralign="center" o:hrstd="t" o:hr="t"/>
        </w:pict>
      </w:r>
    </w:p>
    <w:p>
      <w:pPr>
        <w:pStyle w:val="Heading2"/>
      </w:pPr>
      <w:bookmarkStart w:id="42" w:name="今日操作策略"/>
      <w:r>
        <w:t xml:space="preserve">🎯 今日操作策略</w:t>
      </w:r>
      <w:bookmarkEnd w:id="42"/>
    </w:p>
    <w:p>
      <w:pPr>
        <w:numPr>
          <w:ilvl w:val="0"/>
          <w:numId w:val="1020"/>
        </w:numPr>
        <w:pStyle w:val="Compact"/>
      </w:pPr>
      <w:r>
        <w:t xml:space="preserve">📊 市场预判：偏弱环境中的震荡修复预案。A50微涨提供开盘缓冲，但昨日 3901 家下跌、创业板跌 2.3925%，未出现全面转强证据。</w:t>
      </w:r>
    </w:p>
    <w:p>
      <w:pPr>
        <w:numPr>
          <w:ilvl w:val="0"/>
          <w:numId w:val="1020"/>
        </w:numPr>
        <w:pStyle w:val="Compact"/>
      </w:pPr>
      <w:r>
        <w:t xml:space="preserve">💡 仓位：严格采用</w:t>
      </w:r>
      <w:r>
        <w:t xml:space="preserve"> </w:t>
      </w:r>
      <w:r>
        <w:rPr>
          <w:rStyle w:val="VerbatimChar"/>
        </w:rPr>
        <w:t xml:space="preserve">derived.position_model</w:t>
      </w:r>
      <w:r>
        <w:t xml:space="preserve">——激进 40%、稳健/均衡 25%、保守 10%，总仓上限 40%。资金流与板块关键源恢复前不突破上限。</w:t>
      </w:r>
    </w:p>
    <w:p>
      <w:pPr>
        <w:numPr>
          <w:ilvl w:val="0"/>
          <w:numId w:val="1020"/>
        </w:numPr>
        <w:pStyle w:val="Compact"/>
      </w:pPr>
      <w:r>
        <w:t xml:space="preserve">🔥 关注方向：中埃合作下的电网/基建出海、科创金融支持下的AI算力硬件、银行高股息防御；油气/黄金只作事件观察，不追一致性高开。</w:t>
      </w:r>
    </w:p>
    <w:p>
      <w:pPr>
        <w:numPr>
          <w:ilvl w:val="0"/>
          <w:numId w:val="1020"/>
        </w:numPr>
        <w:pStyle w:val="Compact"/>
      </w:pPr>
      <w:r>
        <w:t xml:space="preserve">📌 关注个股：远东股份、大位科技、联瑞新材、工商银行、弘元绿能；前三只来自华泰单源筛选，后三只中的自选行情亦为华泰单源，均需盘中量价确认。</w:t>
      </w:r>
    </w:p>
    <w:p>
      <w:pPr>
        <w:numPr>
          <w:ilvl w:val="0"/>
          <w:numId w:val="1020"/>
        </w:numPr>
        <w:pStyle w:val="Compact"/>
      </w:pPr>
      <w:r>
        <w:t xml:space="preserve">🚫 回避：高位纯题材、无资金承接的事件脉冲、公告尚未复核的异动股，以及弱势股的无条件摊薄。</w:t>
      </w:r>
    </w:p>
    <w:p>
      <w:pPr>
        <w:numPr>
          <w:ilvl w:val="0"/>
          <w:numId w:val="1020"/>
        </w:numPr>
        <w:pStyle w:val="Compact"/>
      </w:pPr>
      <w:r>
        <w:t xml:space="preserve">⚠️ 关键源覆盖率仅 42.86%，所有方向先按预案处理，只有板块资金、成交和核心股至少两项共振后才升级为可参与。</w:t>
      </w:r>
    </w:p>
    <w:p>
      <w:r>
        <w:pict>
          <v:rect style="width:0;height:1.5pt" o:hralign="center" o:hrstd="t" o:hr="t"/>
        </w:pict>
      </w:r>
    </w:p>
    <w:p>
      <w:pPr>
        <w:pStyle w:val="Heading2"/>
      </w:pPr>
      <w:bookmarkStart w:id="43" w:name="今日重点投资方向"/>
      <w:r>
        <w:t xml:space="preserve">🎯 今日重点投资方向</w:t>
      </w:r>
      <w:bookmarkEnd w:id="43"/>
    </w:p>
    <w:p>
      <w:pPr>
        <w:pStyle w:val="Heading3"/>
      </w:pPr>
      <w:bookmarkStart w:id="44" w:name="方向一中埃合作电网设备基建出海数字经济优先级高待盘中确认"/>
      <w:r>
        <w:t xml:space="preserve">🚀 方向一：中埃合作—电网设备/基建出海/数字经济（优先级：高，待盘中确认）</w:t>
      </w:r>
      <w:bookmarkEnd w:id="44"/>
    </w:p>
    <w:p>
      <w:pPr>
        <w:numPr>
          <w:ilvl w:val="0"/>
          <w:numId w:val="1021"/>
        </w:numPr>
        <w:pStyle w:val="Compact"/>
      </w:pPr>
      <w:r>
        <w:t xml:space="preserve">📌 证据链：中埃会谈明确基础设施、电力、通信技术合作并打造绿色能源、电动汽车、航空航天、数字经济新亮点；访问期间签署 20 余份数字经济、科技、教育、交通领域文件；前 7 个月中埃进出口 951.9 亿元、增长 18.7%，中国机电产品出口埃及增长 23.9%；华泰单源显示远东股份净流入 12.19 亿元、最新价 19.50 元、涨 9.98%。</w:t>
      </w:r>
    </w:p>
    <w:p>
      <w:pPr>
        <w:numPr>
          <w:ilvl w:val="0"/>
          <w:numId w:val="1021"/>
        </w:numPr>
        <w:pStyle w:val="Compact"/>
      </w:pPr>
      <w:r>
        <w:t xml:space="preserve">🔥 核心标的：远东股份（华泰筛选中的电力链活跃样本，资金与涨幅均有单源数据）；国电南瑞、许继电气、中国西电（华泰列出的电网代表，最新行情未核验，只作行业观察）。</w:t>
      </w:r>
    </w:p>
    <w:p>
      <w:pPr>
        <w:numPr>
          <w:ilvl w:val="0"/>
          <w:numId w:val="1021"/>
        </w:numPr>
        <w:pStyle w:val="Compact"/>
      </w:pPr>
      <w:r>
        <w:t xml:space="preserve">💡 参与策略：激进仓等待远东股份首次分歧承接，单方向 5%—10%；稳健仓等待电网/基建出海板块放量后使用 5%；保守仓只跟踪订单落地。</w:t>
      </w:r>
    </w:p>
    <w:p>
      <w:pPr>
        <w:numPr>
          <w:ilvl w:val="0"/>
          <w:numId w:val="1021"/>
        </w:numPr>
        <w:pStyle w:val="Compact"/>
      </w:pPr>
      <w:r>
        <w:t xml:space="preserve">✅ 触发条件：板块成交放大、至少两只核心股同步走强、远东股份不出现涨停次日放量大幅低开，且盘中资金流恢复后显示净流入。</w:t>
      </w:r>
    </w:p>
    <w:p>
      <w:pPr>
        <w:numPr>
          <w:ilvl w:val="0"/>
          <w:numId w:val="1021"/>
        </w:numPr>
        <w:pStyle w:val="Compact"/>
      </w:pPr>
      <w:r>
        <w:t xml:space="preserve">🚫 失效条件：合作主题无板块扩散、核心股高开低走、远东股份跌破昨日收盘价 19.50 元后无法收回，或资金转为明显净流出。</w:t>
      </w:r>
    </w:p>
    <w:p>
      <w:pPr>
        <w:numPr>
          <w:ilvl w:val="0"/>
          <w:numId w:val="1021"/>
        </w:numPr>
        <w:pStyle w:val="Compact"/>
      </w:pPr>
      <w:r>
        <w:t xml:space="preserve">⚠️ 风险：外交合作到上市公司订单存在时间差；远东股份前一日涨幅 9.98%，追高面临兑现风险。</w:t>
      </w:r>
    </w:p>
    <w:p>
      <w:pPr>
        <w:pStyle w:val="Heading3"/>
      </w:pPr>
      <w:bookmarkStart w:id="45" w:name="方向二科创金融ai算力硬件电子材料优先级中"/>
      <w:r>
        <w:t xml:space="preserve">💻 方向二：科创金融—AI算力硬件/电子材料（优先级：中）</w:t>
      </w:r>
      <w:bookmarkEnd w:id="45"/>
    </w:p>
    <w:p>
      <w:pPr>
        <w:numPr>
          <w:ilvl w:val="0"/>
          <w:numId w:val="1022"/>
        </w:numPr>
        <w:pStyle w:val="Compact"/>
      </w:pPr>
      <w:r>
        <w:t xml:space="preserve">📌 证据链：科技创新和技术改造再贷款额度 1.2 万亿元、利率 1.25%；科技型中小企业贷款同比增长 20.1%，比各项贷款高 15 个百分点；华泰补充判断将AI算力列为关注方向；华泰单源显示大位科技净流入 5.00 亿元、涨 10.01%，联瑞新材净流入 2.43 亿元、涨 0.51%。</w:t>
      </w:r>
    </w:p>
    <w:p>
      <w:pPr>
        <w:numPr>
          <w:ilvl w:val="0"/>
          <w:numId w:val="1022"/>
        </w:numPr>
        <w:pStyle w:val="Compact"/>
      </w:pPr>
      <w:r>
        <w:t xml:space="preserve">🔥 核心标的：大位科技（活跃且涨停附近，弹性高但兑现风险高）；联瑞新材（电子材料样本，涨幅温和但价格 177.05 元、波动风险高）；中际旭创、生益科技、天孚通信（华泰列出的算力硬件代表，最新行情未核验）。</w:t>
      </w:r>
    </w:p>
    <w:p>
      <w:pPr>
        <w:numPr>
          <w:ilvl w:val="0"/>
          <w:numId w:val="1022"/>
        </w:numPr>
        <w:pStyle w:val="Compact"/>
      </w:pPr>
      <w:r>
        <w:t xml:space="preserve">💡 参与策略：激进仓只做龙头分歧回封或回踩承接，5%试错；稳健仓等待创业板、科创50止跌且板块资金转正；保守仓不参与高位涨停接力。</w:t>
      </w:r>
    </w:p>
    <w:p>
      <w:pPr>
        <w:numPr>
          <w:ilvl w:val="0"/>
          <w:numId w:val="1022"/>
        </w:numPr>
        <w:pStyle w:val="Compact"/>
      </w:pPr>
      <w:r>
        <w:t xml:space="preserve">✅ 触发条件：创业板不再显著弱于沪指、算力硬件板块放量、核心股至少两只同步走强，并有结构化资金流确认。</w:t>
      </w:r>
    </w:p>
    <w:p>
      <w:pPr>
        <w:numPr>
          <w:ilvl w:val="0"/>
          <w:numId w:val="1022"/>
        </w:numPr>
        <w:pStyle w:val="Compact"/>
      </w:pPr>
      <w:r>
        <w:t xml:space="preserve">🚫 失效条件：创业板继续下破、板块仅个股脉冲、大位科技炸板后不能回封，或主力资金流出扩大。</w:t>
      </w:r>
    </w:p>
    <w:p>
      <w:pPr>
        <w:numPr>
          <w:ilvl w:val="0"/>
          <w:numId w:val="1022"/>
        </w:numPr>
        <w:pStyle w:val="Compact"/>
      </w:pPr>
      <w:r>
        <w:t xml:space="preserve">⚠️ 风险：昨日创业板跌 2.3925%、科创50跌 1.8172%，成长风格仍弱；高位AI品种面临估值和兑现压力。</w:t>
      </w:r>
    </w:p>
    <w:p>
      <w:pPr>
        <w:pStyle w:val="Heading3"/>
      </w:pPr>
      <w:bookmarkStart w:id="46" w:name="方向三银行高股息低波动防御优先级中"/>
      <w:r>
        <w:t xml:space="preserve">🏦 方向三：银行高股息—低波动防御（优先级：中）</w:t>
      </w:r>
      <w:bookmarkEnd w:id="46"/>
    </w:p>
    <w:p>
      <w:pPr>
        <w:numPr>
          <w:ilvl w:val="0"/>
          <w:numId w:val="1023"/>
        </w:numPr>
        <w:pStyle w:val="Compact"/>
      </w:pPr>
      <w:r>
        <w:t xml:space="preserve">📌 证据链：昨日上证指数跌 0.9674%，明显强于创业板的 2.3925%跌幅；3901 家下跌、派生市场风格为</w:t>
      </w:r>
      <w:r>
        <w:t xml:space="preserve">“</w:t>
      </w:r>
      <w:r>
        <w:t xml:space="preserve">偏弱/防御</w:t>
      </w:r>
      <w:r>
        <w:t xml:space="preserve">”</w:t>
      </w:r>
      <w:r>
        <w:t xml:space="preserve">；工商银行华泰单源最新价 8.22 元、涨 0.86%；华泰市场观察也将银行列为防御方向。</w:t>
      </w:r>
    </w:p>
    <w:p>
      <w:pPr>
        <w:numPr>
          <w:ilvl w:val="0"/>
          <w:numId w:val="1023"/>
        </w:numPr>
        <w:pStyle w:val="Compact"/>
      </w:pPr>
      <w:r>
        <w:t xml:space="preserve">🔥 核心标的：工商银行（自选与实盘持仓，单源报价可用）；农业银行（实盘持仓，但最新价未核验，先按条件观察）。</w:t>
      </w:r>
    </w:p>
    <w:p>
      <w:pPr>
        <w:numPr>
          <w:ilvl w:val="0"/>
          <w:numId w:val="1023"/>
        </w:numPr>
        <w:pStyle w:val="Compact"/>
      </w:pPr>
      <w:r>
        <w:t xml:space="preserve">💡 参与策略：激进资金不以银行作为主攻；稳健仓可保留防御底仓；保守仓以持有强于追涨，新开仓需等回踩企稳。</w:t>
      </w:r>
    </w:p>
    <w:p>
      <w:pPr>
        <w:numPr>
          <w:ilvl w:val="0"/>
          <w:numId w:val="1023"/>
        </w:numPr>
        <w:pStyle w:val="Compact"/>
      </w:pPr>
      <w:r>
        <w:t xml:space="preserve">✅ 触发条件：银行相对指数继续抗跌、工商银行维持 8.15 元前收上方并获得板块联动；农业银行需先取得有效实时价和趋势数据。</w:t>
      </w:r>
    </w:p>
    <w:p>
      <w:pPr>
        <w:numPr>
          <w:ilvl w:val="0"/>
          <w:numId w:val="1023"/>
        </w:numPr>
        <w:pStyle w:val="Compact"/>
      </w:pPr>
      <w:r>
        <w:t xml:space="preserve">🚫 失效条件：工商银行跌破 8.15 元且不能快速收回、银行板块同步放量转弱，或高股息资金明显撤离。</w:t>
      </w:r>
    </w:p>
    <w:p>
      <w:pPr>
        <w:numPr>
          <w:ilvl w:val="0"/>
          <w:numId w:val="1023"/>
        </w:numPr>
        <w:pStyle w:val="Compact"/>
      </w:pPr>
      <w:r>
        <w:t xml:space="preserve">⚠️ 风险：高股息交易拥挤、净息差压力、短线获利兑现；防御方向不等于无回撤。</w:t>
      </w:r>
    </w:p>
    <w:p>
      <w:r>
        <w:pict>
          <v:rect style="width:0;height:1.5pt" o:hralign="center" o:hrstd="t" o:hr="t"/>
        </w:pict>
      </w:r>
    </w:p>
    <w:p>
      <w:pPr>
        <w:pStyle w:val="Heading2"/>
      </w:pPr>
      <w:bookmarkStart w:id="47" w:name="华泰自选股观察"/>
      <w:r>
        <w:t xml:space="preserve">🧾 华泰自选股观察</w:t>
      </w:r>
      <w:bookmarkEnd w:id="47"/>
    </w:p>
    <w:p>
      <w:pPr>
        <w:pStyle w:val="FirstParagraph"/>
      </w:pPr>
      <w:r>
        <w:t xml:space="preserve">华泰自选股共 3 只，行情 3/3 返回成功，但缺少新浪、东方财富、腾讯个股交叉校验，均按</w:t>
      </w:r>
      <w:r>
        <w:t xml:space="preserve">“</w:t>
      </w:r>
      <w:r>
        <w:t xml:space="preserve">华泰单源</w:t>
      </w:r>
      <w:r>
        <w:t xml:space="preserve">”</w:t>
      </w:r>
      <w:r>
        <w:t xml:space="preserve">使用。工商银行与防御风格共振；弘元绿能、风语筑缺少本地板块和资金验证，以跟踪为主。</w:t>
      </w:r>
    </w:p>
    <w:p>
      <w:pPr>
        <w:numPr>
          <w:ilvl w:val="0"/>
          <w:numId w:val="1024"/>
        </w:numPr>
        <w:pStyle w:val="Compact"/>
      </w:pPr>
      <w:r>
        <w:t xml:space="preserve">📉 603185 弘元绿能：最新价 14.71 元，前收 15.05 元，跌 2.26%。所属光伏设备；华泰盘前文本提及动力电池/储能，但本次没有光伏板块资金与行情结构，和今日已确认主线共振不足。判断：偏弱、继续观察，不追高；以跟踪为主、暂不作为主攻方向，只有重新站回 15.05 元并获板块共振才可低吸跟踪。</w:t>
      </w:r>
    </w:p>
    <w:p>
      <w:pPr>
        <w:numPr>
          <w:ilvl w:val="0"/>
          <w:numId w:val="1024"/>
        </w:numPr>
        <w:pStyle w:val="Compact"/>
      </w:pPr>
      <w:r>
        <w:t xml:space="preserve">📈 603466 风语筑：最新价 12.06 元，前收 11.94 元，涨 1.01%。所属数字展示/文化创意，可映射数字经济与AI应用，但本次无板块资金、活跃股和公告验证。判断：继续观察，不追高；以跟踪为主、暂不作为主攻方向，放量站稳 12.06 元且AI应用形成联动后再提高优先级。</w:t>
      </w:r>
    </w:p>
    <w:p>
      <w:pPr>
        <w:numPr>
          <w:ilvl w:val="0"/>
          <w:numId w:val="1024"/>
        </w:numPr>
        <w:pStyle w:val="Compact"/>
      </w:pPr>
      <w:r>
        <w:t xml:space="preserve">📈 601398 工商银行：最新价 8.22 元，前收 8.15 元，涨 0.86%。所属银行高股息，与</w:t>
      </w:r>
      <w:r>
        <w:t xml:space="preserve">“</w:t>
      </w:r>
      <w:r>
        <w:t xml:space="preserve">偏弱/防御</w:t>
      </w:r>
      <w:r>
        <w:t xml:space="preserve">”</w:t>
      </w:r>
      <w:r>
        <w:t xml:space="preserve">市场风格共振。判断：偏强、稳健持有，不追高；若跌破 8.15 元且银行板块同步转弱，转为减仓观察。</w:t>
      </w:r>
    </w:p>
    <w:p>
      <w:r>
        <w:pict>
          <v:rect style="width:0;height:1.5pt" o:hralign="center" o:hrstd="t" o:hr="t"/>
        </w:pict>
      </w:r>
    </w:p>
    <w:p>
      <w:pPr>
        <w:pStyle w:val="Heading2"/>
      </w:pPr>
      <w:bookmarkStart w:id="48" w:name="用户实盘持仓策略"/>
      <w:r>
        <w:t xml:space="preserve">💼 用户实盘持仓策略</w:t>
      </w:r>
      <w:bookmarkEnd w:id="48"/>
    </w:p>
    <w:p>
      <w:pPr>
        <w:pStyle w:val="Heading3"/>
      </w:pPr>
      <w:bookmarkStart w:id="49" w:name="弘元绿能300-股成本-26.6669-元"/>
      <w:r>
        <w:t xml:space="preserve">📉 603185 弘元绿能｜300 股｜成本 26.6669 元</w:t>
      </w:r>
      <w:bookmarkEnd w:id="49"/>
    </w:p>
    <w:p>
      <w:pPr>
        <w:numPr>
          <w:ilvl w:val="0"/>
          <w:numId w:val="1025"/>
        </w:numPr>
        <w:pStyle w:val="Compact"/>
      </w:pPr>
      <w:r>
        <w:t xml:space="preserve">📊 最新可得价 14.71 元，按该价测算浮亏 44.84%，浮亏金额 3587.07 元；报价为华泰单源。趋势K线、量能、公告和板块资金未核验。</w:t>
      </w:r>
    </w:p>
    <w:p>
      <w:pPr>
        <w:numPr>
          <w:ilvl w:val="0"/>
          <w:numId w:val="1025"/>
        </w:numPr>
        <w:pStyle w:val="Compact"/>
      </w:pPr>
      <w:r>
        <w:t xml:space="preserve">💡 今日动作：减仓观察，不建议无条件补仓。光伏设备没有与本次已确认政策主线形成直接资金共振，且最新表现偏弱。</w:t>
      </w:r>
    </w:p>
    <w:p>
      <w:pPr>
        <w:numPr>
          <w:ilvl w:val="0"/>
          <w:numId w:val="1025"/>
        </w:numPr>
        <w:pStyle w:val="Compact"/>
      </w:pPr>
      <w:r>
        <w:t xml:space="preserve">🚫 减仓/离场触发：跌破 14.71 元后继续放量走弱，或反抽 15.05 元前收失败；触发时可分批降低 1/3—1/2 仓位，不等待回本价。</w:t>
      </w:r>
    </w:p>
    <w:p>
      <w:pPr>
        <w:numPr>
          <w:ilvl w:val="0"/>
          <w:numId w:val="1025"/>
        </w:numPr>
        <w:pStyle w:val="Compact"/>
      </w:pPr>
      <w:r>
        <w:t xml:space="preserve">✅ 条件加仓：仅在重新站稳 15.05 元、回踩不破，同时光伏/储能板块资金净流入和核心股联动确认后，小仓加回；禁止下跌途中摊薄。</w:t>
      </w:r>
    </w:p>
    <w:p>
      <w:pPr>
        <w:numPr>
          <w:ilvl w:val="0"/>
          <w:numId w:val="1025"/>
        </w:numPr>
        <w:pStyle w:val="Compact"/>
      </w:pPr>
      <w:r>
        <w:t xml:space="preserve">⚠️ 失效与风险：光伏制造盈利改善、关键支撑阻力和公告均未核验；若板块无共振或失守最新价，修复预案失效。它是持仓中最该减仓观察的标的。</w:t>
      </w:r>
    </w:p>
    <w:p>
      <w:pPr>
        <w:pStyle w:val="Heading3"/>
      </w:pPr>
      <w:bookmarkStart w:id="50" w:name="风语筑700-股成本-13.2159-元"/>
      <w:r>
        <w:t xml:space="preserve">📉 603466 风语筑｜700 股｜成本 13.2159 元</w:t>
      </w:r>
      <w:bookmarkEnd w:id="50"/>
    </w:p>
    <w:p>
      <w:pPr>
        <w:numPr>
          <w:ilvl w:val="0"/>
          <w:numId w:val="1026"/>
        </w:numPr>
        <w:pStyle w:val="Compact"/>
      </w:pPr>
      <w:r>
        <w:t xml:space="preserve">📊 最新可得价 12.06 元，按该价测算浮亏 8.75%，浮亏金额 809.13 元；报价为华泰单源。量价趋势、公告和板块资金未核验。</w:t>
      </w:r>
    </w:p>
    <w:p>
      <w:pPr>
        <w:numPr>
          <w:ilvl w:val="0"/>
          <w:numId w:val="1026"/>
        </w:numPr>
        <w:pStyle w:val="Compact"/>
      </w:pPr>
      <w:r>
        <w:t xml:space="preserve">💡 今日动作：持有观察，反弹不追；数字经济有中埃合作政策映射，但公司业务受益程度及AI应用板块共振尚未确认。</w:t>
      </w:r>
    </w:p>
    <w:p>
      <w:pPr>
        <w:numPr>
          <w:ilvl w:val="0"/>
          <w:numId w:val="1026"/>
        </w:numPr>
        <w:pStyle w:val="Compact"/>
      </w:pPr>
      <w:r>
        <w:t xml:space="preserve">🚫 减仓/离场触发：跌破 11.94 元前收后无法快速收回，或数字内容/AI应用板块无联动且个股放量走弱；触发时先减 1/3。</w:t>
      </w:r>
    </w:p>
    <w:p>
      <w:pPr>
        <w:numPr>
          <w:ilvl w:val="0"/>
          <w:numId w:val="1026"/>
        </w:numPr>
        <w:pStyle w:val="Compact"/>
      </w:pPr>
      <w:r>
        <w:t xml:space="preserve">✅ 条件加仓：放量站稳 12.06 元、回踩承接有效，并且AI应用或数字经济板块出现资金与核心股共振后，才可小仓参与。</w:t>
      </w:r>
    </w:p>
    <w:p>
      <w:pPr>
        <w:numPr>
          <w:ilvl w:val="0"/>
          <w:numId w:val="1026"/>
        </w:numPr>
        <w:pStyle w:val="Compact"/>
      </w:pPr>
      <w:r>
        <w:t xml:space="preserve">⚠️ 失效与风险：题材轮动、订单和业绩缺少验证；禁止只因接近 13.2159 元成本而加仓。该股属于</w:t>
      </w:r>
      <w:r>
        <w:t xml:space="preserve">“</w:t>
      </w:r>
      <w:r>
        <w:t xml:space="preserve">满足条件才可加仓</w:t>
      </w:r>
      <w:r>
        <w:t xml:space="preserve">”</w:t>
      </w:r>
      <w:r>
        <w:t xml:space="preserve">的标的。</w:t>
      </w:r>
    </w:p>
    <w:p>
      <w:pPr>
        <w:pStyle w:val="Heading3"/>
      </w:pPr>
      <w:bookmarkStart w:id="51" w:name="工商银行1900-股成本-7.0601-元"/>
      <w:r>
        <w:t xml:space="preserve">📈 601398 工商银行｜1900 股｜成本 7.0601 元</w:t>
      </w:r>
      <w:bookmarkEnd w:id="51"/>
    </w:p>
    <w:p>
      <w:pPr>
        <w:numPr>
          <w:ilvl w:val="0"/>
          <w:numId w:val="1027"/>
        </w:numPr>
        <w:pStyle w:val="Compact"/>
      </w:pPr>
      <w:r>
        <w:t xml:space="preserve">📊 最新可得价 8.22 元，按该价测算浮盈 16.43%，浮盈金额 2203.81 元；报价为华泰单源。最新价高于 8.15 元前收，表现偏强。</w:t>
      </w:r>
    </w:p>
    <w:p>
      <w:pPr>
        <w:numPr>
          <w:ilvl w:val="0"/>
          <w:numId w:val="1027"/>
        </w:numPr>
        <w:pStyle w:val="Compact"/>
      </w:pPr>
      <w:r>
        <w:t xml:space="preserve">💡 今日动作：稳健持有，作为防御底仓；不因已有浮盈追高加仓。</w:t>
      </w:r>
    </w:p>
    <w:p>
      <w:pPr>
        <w:numPr>
          <w:ilvl w:val="0"/>
          <w:numId w:val="1027"/>
        </w:numPr>
        <w:pStyle w:val="Compact"/>
      </w:pPr>
      <w:r>
        <w:t xml:space="preserve">🚫 减仓/离场触发：跌破 8.15 元且银行板块同步走弱，或冲高后放量跌回前收下方；触发时可止盈 1/4—1/3。</w:t>
      </w:r>
    </w:p>
    <w:p>
      <w:pPr>
        <w:numPr>
          <w:ilvl w:val="0"/>
          <w:numId w:val="1027"/>
        </w:numPr>
        <w:pStyle w:val="Compact"/>
      </w:pPr>
      <w:r>
        <w:t xml:space="preserve">✅ 条件加仓：指数继续偏弱而银行保持相对强势，8.15 元上方回踩企稳并重新放量时，才考虑小仓加仓。</w:t>
      </w:r>
    </w:p>
    <w:p>
      <w:pPr>
        <w:numPr>
          <w:ilvl w:val="0"/>
          <w:numId w:val="1027"/>
        </w:numPr>
        <w:pStyle w:val="Compact"/>
      </w:pPr>
      <w:r>
        <w:t xml:space="preserve">⚠️ 失效与风险：高股息拥挤、净息差压力和防御资金撤离；若相对强势消失，防御逻辑失效。该股是当前持仓中最稳健持有标的。</w:t>
      </w:r>
    </w:p>
    <w:p>
      <w:pPr>
        <w:pStyle w:val="Heading3"/>
      </w:pPr>
      <w:bookmarkStart w:id="52" w:name="农业银行5300-股成本-6.4244-元"/>
      <w:r>
        <w:t xml:space="preserve">⚠️ 601288 农业银行｜5300 股｜成本 6.4244 元</w:t>
      </w:r>
      <w:bookmarkEnd w:id="52"/>
    </w:p>
    <w:p>
      <w:pPr>
        <w:numPr>
          <w:ilvl w:val="0"/>
          <w:numId w:val="1028"/>
        </w:numPr>
        <w:pStyle w:val="Compact"/>
      </w:pPr>
      <w:r>
        <w:t xml:space="preserve">📊 本次 JSON 未提供农业银行最新价，当前盈亏幅度、金额、量价趋势、支撑阻力和公告均未核验，禁止虚构价位。</w:t>
      </w:r>
    </w:p>
    <w:p>
      <w:pPr>
        <w:numPr>
          <w:ilvl w:val="0"/>
          <w:numId w:val="1028"/>
        </w:numPr>
        <w:pStyle w:val="Compact"/>
      </w:pPr>
      <w:r>
        <w:t xml:space="preserve">💡 今日动作：持有观察；开盘后先取得有效实时行情，再决定是否止盈或调整。</w:t>
      </w:r>
    </w:p>
    <w:p>
      <w:pPr>
        <w:numPr>
          <w:ilvl w:val="0"/>
          <w:numId w:val="1028"/>
        </w:numPr>
        <w:pStyle w:val="Compact"/>
      </w:pPr>
      <w:r>
        <w:t xml:space="preserve">🚫 减仓/离场触发：实时行情确认跌破最近有效平台支撑，同时银行板块放量转弱，或出现放量长阴破坏中期趋势时分批减仓。</w:t>
      </w:r>
    </w:p>
    <w:p>
      <w:pPr>
        <w:numPr>
          <w:ilvl w:val="0"/>
          <w:numId w:val="1028"/>
        </w:numPr>
        <w:pStyle w:val="Compact"/>
      </w:pPr>
      <w:r>
        <w:t xml:space="preserve">✅ 条件加仓：仅在实时价、近期平台与成交量确认完整，且银行相对指数继续走强、回踩平台不破后小仓参与；不得以 6.4244 元成本作为加仓依据。</w:t>
      </w:r>
    </w:p>
    <w:p>
      <w:pPr>
        <w:numPr>
          <w:ilvl w:val="0"/>
          <w:numId w:val="1028"/>
        </w:numPr>
        <w:pStyle w:val="Compact"/>
      </w:pPr>
      <w:r>
        <w:t xml:space="preserve">⚠️ 失效与风险：行情缺失是首要风险；未核价前不执行加仓。若银行防御风格退潮，持有逻辑需重新评估。</w:t>
      </w:r>
    </w:p>
    <w:p>
      <w:r>
        <w:pict>
          <v:rect style="width:0;height:1.5pt" o:hralign="center" o:hrstd="t" o:hr="t"/>
        </w:pict>
      </w:r>
    </w:p>
    <w:p>
      <w:pPr>
        <w:pStyle w:val="Heading2"/>
      </w:pPr>
      <w:bookmarkStart w:id="53" w:name="风险与数据质量"/>
      <w:r>
        <w:t xml:space="preserve">⚠️ 风险与数据质量</w:t>
      </w:r>
      <w:bookmarkEnd w:id="53"/>
    </w:p>
    <w:p>
      <w:pPr>
        <w:numPr>
          <w:ilvl w:val="0"/>
          <w:numId w:val="1029"/>
        </w:numPr>
        <w:pStyle w:val="Compact"/>
      </w:pPr>
      <w:r>
        <w:t xml:space="preserve">📉 关键源覆盖率 42.86%；资金流、板块表现、活跃股、涨跌停样本、公告和核心个股多源校验缺失。</w:t>
      </w:r>
    </w:p>
    <w:p>
      <w:pPr>
        <w:numPr>
          <w:ilvl w:val="0"/>
          <w:numId w:val="1029"/>
        </w:numPr>
        <w:pStyle w:val="Compact"/>
      </w:pPr>
      <w:r>
        <w:t xml:space="preserve">💰 涨跌家数与成交额均为同花顺单源，可以使用但未交叉验证；成交额比较口径为</w:t>
      </w:r>
      <w:r>
        <w:t xml:space="preserve"> </w:t>
      </w:r>
      <w:r>
        <w:rPr>
          <w:rStyle w:val="VerbatimChar"/>
        </w:rPr>
        <w:t xml:space="preserve">unverified</w:t>
      </w:r>
      <w:r>
        <w:t xml:space="preserve">，不计算或引用变化百分比。</w:t>
      </w:r>
    </w:p>
    <w:p>
      <w:pPr>
        <w:numPr>
          <w:ilvl w:val="0"/>
          <w:numId w:val="1029"/>
        </w:numPr>
        <w:pStyle w:val="Compact"/>
      </w:pPr>
      <w:r>
        <w:t xml:space="preserve">🔴 华泰</w:t>
      </w:r>
      <w:r>
        <w:t xml:space="preserve"> </w:t>
      </w:r>
      <w:r>
        <w:rPr>
          <w:rStyle w:val="VerbatimChar"/>
        </w:rPr>
        <w:t xml:space="preserve">query_indicator</w:t>
      </w:r>
      <w:r>
        <w:t xml:space="preserve">、</w:t>
      </w:r>
      <w:r>
        <w:rPr>
          <w:rStyle w:val="VerbatimChar"/>
        </w:rPr>
        <w:t xml:space="preserve">market_insight</w:t>
      </w:r>
      <w:r>
        <w:t xml:space="preserve">、</w:t>
      </w:r>
      <w:r>
        <w:rPr>
          <w:rStyle w:val="VerbatimChar"/>
        </w:rPr>
        <w:t xml:space="preserve">select_stock</w:t>
      </w:r>
      <w:r>
        <w:t xml:space="preserve"> </w:t>
      </w:r>
      <w:r>
        <w:t xml:space="preserve">与自选行情仅作补充来源；其文本结论和个股筛选不得覆盖新浪/东财/腾讯结构化事实。</w:t>
      </w:r>
    </w:p>
    <w:p>
      <w:pPr>
        <w:numPr>
          <w:ilvl w:val="0"/>
          <w:numId w:val="1029"/>
        </w:numPr>
        <w:pStyle w:val="Compact"/>
      </w:pPr>
      <w:r>
        <w:t xml:space="preserve">🚫 资金流入/流出 TOP10 均未核验，报告和摘要只披露缺失状态，不以部分华泰候选股冒充完整榜单。</w:t>
      </w:r>
    </w:p>
    <w:p>
      <w:pPr>
        <w:numPr>
          <w:ilvl w:val="0"/>
          <w:numId w:val="1029"/>
        </w:numPr>
        <w:pStyle w:val="Compact"/>
      </w:pPr>
      <w:r>
        <w:t xml:space="preserve">⚠️ 中东冲突、欧元区通胀与昨日成长指数走弱可能共同压制风险偏好；所有策略均需盘中量价和资金确认。</w:t>
      </w:r>
    </w:p>
    <w:p>
      <w:r>
        <w:pict>
          <v:rect style="width:0;height:1.5pt" o:hralign="center" o:hrstd="t" o:hr="t"/>
        </w:pict>
      </w:r>
    </w:p>
    <w:p>
      <w:pPr>
        <w:pStyle w:val="BlockText"/>
      </w:pPr>
      <w:r>
        <w:t xml:space="preserve">📊 生成时间：2026-09-03 08:32（北京时间，Asia/Shanghai）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2026-09-03T00:36:48Z</dcterms:created>
  <dcterms:modified xsi:type="dcterms:W3CDTF">2026-09-03T00:36:48Z</dcterms:modified>
</cp:coreProperties>
</file>

<file path=docProps/custom.xml><?xml version="1.0" encoding="utf-8"?>
<Properties xmlns="http://schemas.openxmlformats.org/officeDocument/2006/custom-properties" xmlns:vt="http://schemas.openxmlformats.org/officeDocument/2006/docPropsVTypes"/>
</file>