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全天复盘-2026-09-03周四"/>
      <w:r>
        <w:t xml:space="preserve">🕑 全天复盘 | 2026-09-03（周四）</w:t>
      </w:r>
      <w:bookmarkEnd w:id="20"/>
    </w:p>
    <w:p>
      <w:pPr>
        <w:pStyle w:val="BlockText"/>
      </w:pPr>
      <w:r>
        <w:t xml:space="preserve">数据基准：2026-09-03 收盘；指数经新浪、东方财富、腾讯三源校验一致。同花顺市场广度与成交额为单源可用。关键源覆盖率 3/7（42.86%）；全天资金流、板块排行、活跃股、涨跌停样本及核心个股多源校验采集失败，缺失内容均降级为</w:t>
      </w:r>
      <w:r>
        <w:t xml:space="preserve">“</w:t>
      </w:r>
      <w:r>
        <w:t xml:space="preserve">未核验</w:t>
      </w:r>
      <w:r>
        <w:t xml:space="preserve">”</w:t>
      </w:r>
      <w:r>
        <w:t xml:space="preserve">。</w:t>
      </w:r>
    </w:p>
    <w:p>
      <w:r>
        <w:pict>
          <v:rect style="width:0;height:1.5pt" o:hralign="center" o:hrstd="t" o:hr="t"/>
        </w:pict>
      </w:r>
    </w:p>
    <w:p>
      <w:pPr>
        <w:pStyle w:val="Heading2"/>
      </w:pPr>
      <w:bookmarkStart w:id="21" w:name="全天行情概览"/>
      <w:r>
        <w:t xml:space="preserve">📊 全天行情概览</w:t>
      </w:r>
      <w:bookmarkEnd w:id="21"/>
    </w:p>
    <w:tbl>
      <w:tblPr>
        <w:tblStyle w:val="Table"/>
        <w:tblW w:type="pct" w:w="0.0"/>
        <w:tblLook w:firstRow="1"/>
      </w:tblPr>
      <w:tblGrid/>
      <w:tr>
        <w:trPr>
          <w:cnfStyle w:firstRow="1"/>
        </w:trPr>
        <w:tc>
          <w:tcPr>
            <w:tcBorders>
              <w:bottom w:val="single"/>
            </w:tcBorders>
            <w:vAlign w:val="bottom"/>
          </w:tcPr>
          <w:p>
            <w:pPr>
              <w:pStyle w:val="Compact"/>
              <w:jc w:val="left"/>
            </w:pPr>
            <w:r>
              <w:t xml:space="preserve">指数</w:t>
            </w:r>
          </w:p>
        </w:tc>
        <w:tc>
          <w:tcPr>
            <w:tcBorders>
              <w:bottom w:val="single"/>
            </w:tcBorders>
            <w:vAlign w:val="bottom"/>
          </w:tcPr>
          <w:p>
            <w:pPr>
              <w:pStyle w:val="Compact"/>
              <w:jc w:val="right"/>
            </w:pPr>
            <w:r>
              <w:t xml:space="preserve">收盘点位</w:t>
            </w:r>
          </w:p>
        </w:tc>
        <w:tc>
          <w:tcPr>
            <w:tcBorders>
              <w:bottom w:val="single"/>
            </w:tcBorders>
            <w:vAlign w:val="bottom"/>
          </w:tcPr>
          <w:p>
            <w:pPr>
              <w:pStyle w:val="Compact"/>
              <w:jc w:val="right"/>
            </w:pPr>
            <w:r>
              <w:t xml:space="preserve">涨跌幅</w:t>
            </w:r>
          </w:p>
        </w:tc>
      </w:tr>
      <w:tr>
        <w:tc>
          <w:p>
            <w:pPr>
              <w:pStyle w:val="Compact"/>
              <w:jc w:val="left"/>
            </w:pPr>
            <w:r>
              <w:t xml:space="preserve">上证指数</w:t>
            </w:r>
          </w:p>
        </w:tc>
        <w:tc>
          <w:p>
            <w:pPr>
              <w:pStyle w:val="Compact"/>
              <w:jc w:val="right"/>
            </w:pPr>
            <w:r>
              <w:t xml:space="preserve">3942.0879</w:t>
            </w:r>
          </w:p>
        </w:tc>
        <w:tc>
          <w:p>
            <w:pPr>
              <w:pStyle w:val="Compact"/>
              <w:jc w:val="right"/>
            </w:pPr>
            <w:r>
              <w:t xml:space="preserve">📈 +0.0178%</w:t>
            </w:r>
          </w:p>
        </w:tc>
      </w:tr>
      <w:tr>
        <w:tc>
          <w:p>
            <w:pPr>
              <w:pStyle w:val="Compact"/>
              <w:jc w:val="left"/>
            </w:pPr>
            <w:r>
              <w:t xml:space="preserve">深证成指</w:t>
            </w:r>
          </w:p>
        </w:tc>
        <w:tc>
          <w:p>
            <w:pPr>
              <w:pStyle w:val="Compact"/>
              <w:jc w:val="right"/>
            </w:pPr>
            <w:r>
              <w:t xml:space="preserve">13625.1220</w:t>
            </w:r>
          </w:p>
        </w:tc>
        <w:tc>
          <w:p>
            <w:pPr>
              <w:pStyle w:val="Compact"/>
              <w:jc w:val="right"/>
            </w:pPr>
            <w:r>
              <w:t xml:space="preserve">📈 +0.0997%</w:t>
            </w:r>
          </w:p>
        </w:tc>
      </w:tr>
      <w:tr>
        <w:tc>
          <w:p>
            <w:pPr>
              <w:pStyle w:val="Compact"/>
              <w:jc w:val="left"/>
            </w:pPr>
            <w:r>
              <w:t xml:space="preserve">创业板指</w:t>
            </w:r>
          </w:p>
        </w:tc>
        <w:tc>
          <w:p>
            <w:pPr>
              <w:pStyle w:val="Compact"/>
              <w:jc w:val="right"/>
            </w:pPr>
            <w:r>
              <w:t xml:space="preserve">3312.5410</w:t>
            </w:r>
          </w:p>
        </w:tc>
        <w:tc>
          <w:p>
            <w:pPr>
              <w:pStyle w:val="Compact"/>
              <w:jc w:val="right"/>
            </w:pPr>
            <w:r>
              <w:t xml:space="preserve">📈 +0.0090%</w:t>
            </w:r>
          </w:p>
        </w:tc>
      </w:tr>
      <w:tr>
        <w:tc>
          <w:p>
            <w:pPr>
              <w:pStyle w:val="Compact"/>
              <w:jc w:val="left"/>
            </w:pPr>
            <w:r>
              <w:t xml:space="preserve">科创50</w:t>
            </w:r>
          </w:p>
        </w:tc>
        <w:tc>
          <w:p>
            <w:pPr>
              <w:pStyle w:val="Compact"/>
              <w:jc w:val="right"/>
            </w:pPr>
            <w:r>
              <w:t xml:space="preserve">1611.1652</w:t>
            </w:r>
          </w:p>
        </w:tc>
        <w:tc>
          <w:p>
            <w:pPr>
              <w:pStyle w:val="Compact"/>
              <w:jc w:val="right"/>
            </w:pPr>
            <w:r>
              <w:t xml:space="preserve">📉 -0.3976%</w:t>
            </w:r>
          </w:p>
        </w:tc>
      </w:tr>
      <w:tr>
        <w:tc>
          <w:p>
            <w:pPr>
              <w:pStyle w:val="Compact"/>
              <w:jc w:val="left"/>
            </w:pPr>
            <w:r>
              <w:t xml:space="preserve">沪深300</w:t>
            </w:r>
          </w:p>
        </w:tc>
        <w:tc>
          <w:p>
            <w:pPr>
              <w:pStyle w:val="Compact"/>
              <w:jc w:val="right"/>
            </w:pPr>
            <w:r>
              <w:t xml:space="preserve">4552.5784</w:t>
            </w:r>
          </w:p>
        </w:tc>
        <w:tc>
          <w:p>
            <w:pPr>
              <w:pStyle w:val="Compact"/>
              <w:jc w:val="right"/>
            </w:pPr>
            <w:r>
              <w:t xml:space="preserve">📈 +0.1016%</w:t>
            </w:r>
          </w:p>
        </w:tc>
      </w:tr>
    </w:tbl>
    <w:p>
      <w:pPr>
        <w:numPr>
          <w:ilvl w:val="0"/>
          <w:numId w:val="1001"/>
        </w:numPr>
        <w:pStyle w:val="Compact"/>
      </w:pPr>
      <w:r>
        <w:t xml:space="preserve">💰 同花顺单源确认全市场成交额 17802.38 亿元；同一接口列示昨日成交额 18202.97 亿元，但</w:t>
      </w:r>
      <w:r>
        <w:t xml:space="preserve"> </w:t>
      </w:r>
      <w:r>
        <w:rPr>
          <w:rStyle w:val="VerbatimChar"/>
        </w:rPr>
        <w:t xml:space="preserve">turnover_comparison_scope=unverified</w:t>
      </w:r>
      <w:r>
        <w:t xml:space="preserve">，因此不使用变化百分比，也不把差额作为缩量证据。</w:t>
      </w:r>
    </w:p>
    <w:p>
      <w:pPr>
        <w:numPr>
          <w:ilvl w:val="0"/>
          <w:numId w:val="1001"/>
        </w:numPr>
        <w:pStyle w:val="Compact"/>
      </w:pPr>
      <w:r>
        <w:t xml:space="preserve">📉 同花顺单源显示上涨 1846 家、下跌 3570 家、平盘 133 家，涨停 46 家、跌停 15 家。下跌家数比上涨家数多 1724 家，指数平收掩盖了明显偏弱的个股广度。</w:t>
      </w:r>
    </w:p>
    <w:p>
      <w:pPr>
        <w:numPr>
          <w:ilvl w:val="0"/>
          <w:numId w:val="1001"/>
        </w:numPr>
        <w:pStyle w:val="Compact"/>
      </w:pPr>
      <w:r>
        <w:t xml:space="preserve">🔵 沪深300ETF净申购方向：未核验。采集 JSON 未提供可用净申购数据，不能替代或推断外资方向。</w:t>
      </w:r>
    </w:p>
    <w:p>
      <w:pPr>
        <w:numPr>
          <w:ilvl w:val="0"/>
          <w:numId w:val="1001"/>
        </w:numPr>
        <w:pStyle w:val="Compact"/>
      </w:pPr>
      <w:r>
        <w:t xml:space="preserve">🎭 一句话特征：三大指数接近平收、科创50收跌，3570 家个股下跌，属于</w:t>
      </w:r>
      <w:r>
        <w:t xml:space="preserve">“</w:t>
      </w:r>
      <w:r>
        <w:t xml:space="preserve">指数韧性尚在、个股赚钱效应偏弱</w:t>
      </w:r>
      <w:r>
        <w:t xml:space="preserve">”</w:t>
      </w:r>
      <w:r>
        <w:t xml:space="preserve">的防御盘面。</w:t>
      </w:r>
    </w:p>
    <w:p>
      <w:r>
        <w:pict>
          <v:rect style="width:0;height:1.5pt" o:hralign="center" o:hrstd="t" o:hr="t"/>
        </w:pict>
      </w:r>
    </w:p>
    <w:p>
      <w:pPr>
        <w:pStyle w:val="Heading2"/>
      </w:pPr>
      <w:bookmarkStart w:id="22" w:name="上午-vs-下午对比"/>
      <w:r>
        <w:t xml:space="preserve">⏰ 上午 vs 下午对比</w:t>
      </w:r>
      <w:bookmarkEnd w:id="22"/>
    </w:p>
    <w:p>
      <w:pPr>
        <w:numPr>
          <w:ilvl w:val="0"/>
          <w:numId w:val="1002"/>
        </w:numPr>
        <w:pStyle w:val="Compact"/>
      </w:pPr>
      <w:r>
        <w:t xml:space="preserve">📈 午间上证、深证、创业板分别上涨 0.4263%、0.3864%、0.4280%，收盘仅上涨 0.0178%、0.0997%、0.0090%；午后对应回落 16.1003 点、39.0190 点、13.8800 点，上午涨幅大部分被回吐。</w:t>
      </w:r>
    </w:p>
    <w:p>
      <w:pPr>
        <w:numPr>
          <w:ilvl w:val="0"/>
          <w:numId w:val="1002"/>
        </w:numPr>
        <w:pStyle w:val="Compact"/>
      </w:pPr>
      <w:r>
        <w:t xml:space="preserve">📉 沪深300从午间 4571.0513 点回落至 4552.5784 点，午后下降 18.4729 点；科创50从 -0.0407%扩大至 -0.3976%，成长方向承压更明显。</w:t>
      </w:r>
    </w:p>
    <w:p>
      <w:pPr>
        <w:numPr>
          <w:ilvl w:val="0"/>
          <w:numId w:val="1002"/>
        </w:numPr>
        <w:pStyle w:val="Compact"/>
      </w:pPr>
      <w:r>
        <w:t xml:space="preserve">🎭 同花顺同源快照显示，上涨家数由午间 2178 家降至 1846 家，减少 332 家；下跌家数由 3168 家增至 3570 家，增加 402 家；跌停数由 7 家增至 15 家。</w:t>
      </w:r>
    </w:p>
    <w:p>
      <w:pPr>
        <w:numPr>
          <w:ilvl w:val="0"/>
          <w:numId w:val="1002"/>
        </w:numPr>
        <w:pStyle w:val="Compact"/>
      </w:pPr>
      <w:r>
        <w:t xml:space="preserve">💰 全市场成交额由午间累计 11136.00 亿元增至收盘 17802.38 亿元，下午新增 6666.38 亿元。该数据只描述当日时段增量，不用于昨日同期比较。</w:t>
      </w:r>
    </w:p>
    <w:p>
      <w:pPr>
        <w:numPr>
          <w:ilvl w:val="0"/>
          <w:numId w:val="1002"/>
        </w:numPr>
        <w:pStyle w:val="Compact"/>
      </w:pPr>
      <w:r>
        <w:t xml:space="preserve">🔥 午盘认为</w:t>
      </w:r>
      <w:r>
        <w:t xml:space="preserve">“</w:t>
      </w:r>
      <w:r>
        <w:t xml:space="preserve">金融、培育钻石可继续观察，航运与硬科技需确认</w:t>
      </w:r>
      <w:r>
        <w:t xml:space="preserve">”</w:t>
      </w:r>
      <w:r>
        <w:t xml:space="preserve">。收盘华泰补充仍将培育钻石、航运列为强势线索，并提示液冷服务器午后拉升；但本地板块资金与排行仍缺失，只能确认局部结构，不能升级为全市场一致主线。</w:t>
      </w:r>
    </w:p>
    <w:p>
      <w:pPr>
        <w:numPr>
          <w:ilvl w:val="0"/>
          <w:numId w:val="1002"/>
        </w:numPr>
        <w:pStyle w:val="Compact"/>
      </w:pPr>
      <w:r>
        <w:t xml:space="preserve">⚠️ 午盘对冲高回落和指数、个股背离的风险判断得到验证；农业退潮、高位兑现的华泰文本线索未获得结构化全天榜单复核，继续按单源风险提示处理。</w:t>
      </w:r>
    </w:p>
    <w:p>
      <w:r>
        <w:pict>
          <v:rect style="width:0;height:1.5pt" o:hralign="center" o:hrstd="t" o:hr="t"/>
        </w:pict>
      </w:r>
    </w:p>
    <w:p>
      <w:pPr>
        <w:pStyle w:val="Heading2"/>
      </w:pPr>
      <w:bookmarkStart w:id="23" w:name="领涨板块-top10-龙头股"/>
      <w:r>
        <w:t xml:space="preserve">🔥 领涨板块 TOP10 &amp; 龙头股</w:t>
      </w:r>
      <w:bookmarkEnd w:id="23"/>
    </w:p>
    <w:p>
      <w:pPr>
        <w:numPr>
          <w:ilvl w:val="0"/>
          <w:numId w:val="1003"/>
        </w:numPr>
        <w:pStyle w:val="Compact"/>
      </w:pPr>
      <w:r>
        <w:t xml:space="preserve">⚠️ 全天</w:t>
      </w:r>
      <w:r>
        <w:t xml:space="preserve"> </w:t>
      </w:r>
      <w:r>
        <w:rPr>
          <w:rStyle w:val="VerbatimChar"/>
        </w:rPr>
        <w:t xml:space="preserve">sector_performance.ok=false</w:t>
      </w:r>
      <w:r>
        <w:t xml:space="preserve">，完整领涨板块 TOP10 未核验；</w:t>
      </w:r>
      <w:r>
        <w:rPr>
          <w:rStyle w:val="VerbatimChar"/>
        </w:rPr>
        <w:t xml:space="preserve">active_stocks</w:t>
      </w:r>
      <w:r>
        <w:t xml:space="preserve">、</w:t>
      </w:r>
      <w:r>
        <w:rPr>
          <w:rStyle w:val="VerbatimChar"/>
        </w:rPr>
        <w:t xml:space="preserve">limit_stocks</w:t>
      </w:r>
      <w:r>
        <w:t xml:space="preserve"> </w:t>
      </w:r>
      <w:r>
        <w:t xml:space="preserve">与</w:t>
      </w:r>
      <w:r>
        <w:t xml:space="preserve"> </w:t>
      </w:r>
      <w:r>
        <w:rPr>
          <w:rStyle w:val="VerbatimChar"/>
        </w:rPr>
        <w:t xml:space="preserve">stock_quote_cross_checks</w:t>
      </w:r>
      <w:r>
        <w:t xml:space="preserve"> </w:t>
      </w:r>
      <w:r>
        <w:t xml:space="preserve">同时失败，不能生成真实 TOP20 龙头股榜或补写收盘价、成交额、封单数据。</w:t>
      </w:r>
    </w:p>
    <w:p>
      <w:pPr>
        <w:numPr>
          <w:ilvl w:val="0"/>
          <w:numId w:val="1003"/>
        </w:numPr>
        <w:pStyle w:val="Compact"/>
      </w:pPr>
      <w:r>
        <w:t xml:space="preserve">🔵 华泰收盘补充仅确认培育钻石、液冷服务器、港口航运为强势线索，属于单一补充来源；下列标的均不得视为已完成新浪/东财/腾讯个股交叉验证。</w:t>
      </w:r>
    </w:p>
    <w:p>
      <w:pPr>
        <w:numPr>
          <w:ilvl w:val="0"/>
          <w:numId w:val="1003"/>
        </w:numPr>
        <w:pStyle w:val="Compact"/>
      </w:pPr>
      <w:r>
        <w:t xml:space="preserve">💎 培育钻石：华泰午间称概念涨幅超过 4%、成交较前一交易日同期增长超过 35%；黄河旋风午间涨 10.03%、净流入 8.57 亿元，收盘文本仍称黄河旋风、博云新材涨停。方向有</w:t>
      </w:r>
      <w:r>
        <w:t xml:space="preserve">“</w:t>
      </w:r>
      <w:r>
        <w:t xml:space="preserve">板块强度+资金样本+涨停延续</w:t>
      </w:r>
      <w:r>
        <w:t xml:space="preserve">”</w:t>
      </w:r>
      <w:r>
        <w:t xml:space="preserve">三类单源证据，但不宜追高潮。</w:t>
      </w:r>
    </w:p>
    <w:p>
      <w:pPr>
        <w:numPr>
          <w:ilvl w:val="0"/>
          <w:numId w:val="1003"/>
        </w:numPr>
        <w:pStyle w:val="Compact"/>
      </w:pPr>
      <w:r>
        <w:t xml:space="preserve">🚢 港口航运：午间华泰单源板块涨 2.77%，凤凰航运、中远海能涨停，国航远洋涨超 10%，海通发展盘中创新高；收盘文本继续确认中远海能、凤凰航运涨停，持续性强于单纯午间脉冲，但全天板块资金未核验。</w:t>
      </w:r>
    </w:p>
    <w:p>
      <w:pPr>
        <w:numPr>
          <w:ilvl w:val="0"/>
          <w:numId w:val="1003"/>
        </w:numPr>
        <w:pStyle w:val="Compact"/>
      </w:pPr>
      <w:r>
        <w:t xml:space="preserve">💧 液冷服务器：华泰收盘文本称午后拉升并跑赢同期沪深300，但未提供结构化板块涨幅、资金额、成交额和可核验核心股清单，只列为观察方向。</w:t>
      </w:r>
    </w:p>
    <w:p>
      <w:pPr>
        <w:numPr>
          <w:ilvl w:val="0"/>
          <w:numId w:val="1003"/>
        </w:numPr>
        <w:pStyle w:val="Compact"/>
      </w:pPr>
      <w:r>
        <w:t xml:space="preserve">💻 硬科技样本：午间华泰单源显示三安光电净流入 11.27 亿元、涨 9.98%；香农芯创净流入 6.37 亿元、涨 7.45%；剑桥科技净流入 3.74 亿元、涨 4.21%。收盘科创50跌 0.3976%，说明个股活跃尚未形成成长指数共振。</w:t>
      </w:r>
    </w:p>
    <w:p>
      <w:pPr>
        <w:pStyle w:val="Heading3"/>
      </w:pPr>
      <w:bookmarkStart w:id="24" w:name="华泰午间正流入筛选前10非全天资金主榜"/>
      <w:r>
        <w:t xml:space="preserve">📈 华泰午间正流入筛选前10（非全天资金主榜）</w:t>
      </w:r>
      <w:bookmarkEnd w:id="24"/>
    </w:p>
    <w:p>
      <w:pPr>
        <w:numPr>
          <w:ilvl w:val="0"/>
          <w:numId w:val="1004"/>
        </w:numPr>
        <w:pStyle w:val="Compact"/>
      </w:pPr>
      <w:r>
        <w:t xml:space="preserve">三安光电（600703）：净流入 11.27 亿元，涨 9.98%，午间价 13.89 元。</w:t>
      </w:r>
    </w:p>
    <w:p>
      <w:pPr>
        <w:numPr>
          <w:ilvl w:val="0"/>
          <w:numId w:val="1004"/>
        </w:numPr>
        <w:pStyle w:val="Compact"/>
      </w:pPr>
      <w:r>
        <w:t xml:space="preserve">黄河旋风（600172）：净流入 8.57 亿元，涨 10.03%，午间价 16.23 元。</w:t>
      </w:r>
    </w:p>
    <w:p>
      <w:pPr>
        <w:numPr>
          <w:ilvl w:val="0"/>
          <w:numId w:val="1004"/>
        </w:numPr>
        <w:pStyle w:val="Compact"/>
      </w:pPr>
      <w:r>
        <w:t xml:space="preserve">中国平安（601318）：净流入 7.40 亿元，涨 2.95%，午间价 58.30 元。</w:t>
      </w:r>
    </w:p>
    <w:p>
      <w:pPr>
        <w:numPr>
          <w:ilvl w:val="0"/>
          <w:numId w:val="1004"/>
        </w:numPr>
        <w:pStyle w:val="Compact"/>
      </w:pPr>
      <w:r>
        <w:t xml:space="preserve">香农芯创（300475）：净流入 6.37 亿元，涨 7.45%，午间价 180.30 元。</w:t>
      </w:r>
    </w:p>
    <w:p>
      <w:pPr>
        <w:numPr>
          <w:ilvl w:val="0"/>
          <w:numId w:val="1004"/>
        </w:numPr>
        <w:pStyle w:val="Compact"/>
      </w:pPr>
      <w:r>
        <w:t xml:space="preserve">宁德时代（300750）：净流入 6.34 亿元，涨 0.78%，午间价 351.02 元。</w:t>
      </w:r>
    </w:p>
    <w:p>
      <w:pPr>
        <w:numPr>
          <w:ilvl w:val="0"/>
          <w:numId w:val="1004"/>
        </w:numPr>
        <w:pStyle w:val="Compact"/>
      </w:pPr>
      <w:r>
        <w:t xml:space="preserve">美诺华（603538）：净流入 6.16 亿元，涨 10.00%，午间价 28.49 元。</w:t>
      </w:r>
    </w:p>
    <w:p>
      <w:pPr>
        <w:numPr>
          <w:ilvl w:val="0"/>
          <w:numId w:val="1004"/>
        </w:numPr>
        <w:pStyle w:val="Compact"/>
      </w:pPr>
      <w:r>
        <w:t xml:space="preserve">中信证券（600030）：净流入 4.06 亿元，涨 1.64%，午间价 27.92 元。</w:t>
      </w:r>
    </w:p>
    <w:p>
      <w:pPr>
        <w:numPr>
          <w:ilvl w:val="0"/>
          <w:numId w:val="1004"/>
        </w:numPr>
        <w:pStyle w:val="Compact"/>
      </w:pPr>
      <w:r>
        <w:t xml:space="preserve">巨轮智能（002031）：净流入 3.98 亿元，涨 10.02%，午间价 5.71 元。</w:t>
      </w:r>
    </w:p>
    <w:p>
      <w:pPr>
        <w:numPr>
          <w:ilvl w:val="0"/>
          <w:numId w:val="1004"/>
        </w:numPr>
        <w:pStyle w:val="Compact"/>
      </w:pPr>
      <w:r>
        <w:t xml:space="preserve">剑桥科技（603083）：净流入 3.74 亿元，涨 4.21%，午间价 187.57 元。</w:t>
      </w:r>
    </w:p>
    <w:p>
      <w:pPr>
        <w:numPr>
          <w:ilvl w:val="0"/>
          <w:numId w:val="1004"/>
        </w:numPr>
        <w:pStyle w:val="Compact"/>
      </w:pPr>
      <w:r>
        <w:t xml:space="preserve">大众交通（600611）：净流入 3.64 亿元，涨 10.04%，午间价 5.15 元。</w:t>
      </w:r>
    </w:p>
    <w:p>
      <w:pPr>
        <w:numPr>
          <w:ilvl w:val="0"/>
          <w:numId w:val="1005"/>
        </w:numPr>
        <w:pStyle w:val="Compact"/>
      </w:pPr>
      <w:r>
        <w:t xml:space="preserve">⚠️ 以上是午间华泰</w:t>
      </w:r>
      <w:r>
        <w:t xml:space="preserve"> </w:t>
      </w:r>
      <w:r>
        <w:rPr>
          <w:rStyle w:val="VerbatimChar"/>
        </w:rPr>
        <w:t xml:space="preserve">select_stock</w:t>
      </w:r>
      <w:r>
        <w:t xml:space="preserve"> </w:t>
      </w:r>
      <w:r>
        <w:t xml:space="preserve">的真实筛选结果，不是收盘全市场资金流入 TOP10；不得用于推断全天排名未变化。</w:t>
      </w:r>
    </w:p>
    <w:p>
      <w:r>
        <w:pict>
          <v:rect style="width:0;height:1.5pt" o:hralign="center" o:hrstd="t" o:hr="t"/>
        </w:pict>
      </w:r>
    </w:p>
    <w:p>
      <w:pPr>
        <w:pStyle w:val="Heading2"/>
      </w:pPr>
      <w:bookmarkStart w:id="25" w:name="领跌板块-top5-资金流出"/>
      <w:r>
        <w:t xml:space="preserve">🔴 领跌板块 TOP5 &amp; 资金流出</w:t>
      </w:r>
      <w:bookmarkEnd w:id="25"/>
    </w:p>
    <w:p>
      <w:pPr>
        <w:numPr>
          <w:ilvl w:val="0"/>
          <w:numId w:val="1006"/>
        </w:numPr>
        <w:pStyle w:val="Compact"/>
      </w:pPr>
      <w:r>
        <w:t xml:space="preserve">📉 完整领跌板块 TOP5：未核验。</w:t>
      </w:r>
      <w:r>
        <w:rPr>
          <w:rStyle w:val="VerbatimChar"/>
        </w:rPr>
        <w:t xml:space="preserve">sector_performance.ok=false</w:t>
      </w:r>
      <w:r>
        <w:t xml:space="preserve">，不能把华泰文字中的农业、乳业等风险线索拼成真实收盘榜单。</w:t>
      </w:r>
    </w:p>
    <w:p>
      <w:pPr>
        <w:numPr>
          <w:ilvl w:val="0"/>
          <w:numId w:val="1006"/>
        </w:numPr>
        <w:pStyle w:val="Compact"/>
      </w:pPr>
      <w:r>
        <w:t xml:space="preserve">⚠️ 全天主力资金流入 TOP10：未核验。顶层</w:t>
      </w:r>
      <w:r>
        <w:t xml:space="preserve"> </w:t>
      </w:r>
      <w:r>
        <w:rPr>
          <w:rStyle w:val="VerbatimChar"/>
        </w:rPr>
        <w:t xml:space="preserve">money_flow.ok=false</w:t>
      </w:r>
      <w:r>
        <w:t xml:space="preserve">；仅保留上节午间华泰单源正流入筛选，不冒充全天主榜。</w:t>
      </w:r>
    </w:p>
    <w:p>
      <w:pPr>
        <w:numPr>
          <w:ilvl w:val="0"/>
          <w:numId w:val="1006"/>
        </w:numPr>
        <w:pStyle w:val="Compact"/>
      </w:pPr>
      <w:r>
        <w:t xml:space="preserve">⚠️ 全天主力资金流出 TOP10：未核验。采集 JSON 没有结构完整的流出十项榜单，禁止自行补齐名称和金额。</w:t>
      </w:r>
    </w:p>
    <w:p>
      <w:pPr>
        <w:numPr>
          <w:ilvl w:val="0"/>
          <w:numId w:val="1006"/>
        </w:numPr>
        <w:pStyle w:val="Compact"/>
      </w:pPr>
      <w:r>
        <w:t xml:space="preserve">🌾 农业/粮食风险线索：午间华泰文本称天禾股份、新赛股份触及跌停，万向德农跌超 9%；收盘文本继续称昨日强势农业集中兑现。因全天跌停样本缺失，只能判断该方向延续性较差，不能扩展成完整领跌排行。</w:t>
      </w:r>
    </w:p>
    <w:p>
      <w:pPr>
        <w:numPr>
          <w:ilvl w:val="0"/>
          <w:numId w:val="1006"/>
        </w:numPr>
        <w:pStyle w:val="Compact"/>
      </w:pPr>
      <w:r>
        <w:t xml:space="preserve">🥛 乳业与高位股：午间华泰文本提示一鸣食品连续 2 日跌停，以及多只高位风险提示股走弱；全天结构化复核缺失，明日仍以回避高位接力为主。</w:t>
      </w:r>
    </w:p>
    <w:p>
      <w:r>
        <w:pict>
          <v:rect style="width:0;height:1.5pt" o:hralign="center" o:hrstd="t" o:hr="t"/>
        </w:pict>
      </w:r>
    </w:p>
    <w:p>
      <w:pPr>
        <w:pStyle w:val="Heading2"/>
      </w:pPr>
      <w:bookmarkStart w:id="26" w:name="资金流向与数据降级"/>
      <w:r>
        <w:t xml:space="preserve">💰 资金流向与数据降级</w:t>
      </w:r>
      <w:bookmarkEnd w:id="26"/>
    </w:p>
    <w:p>
      <w:pPr>
        <w:numPr>
          <w:ilvl w:val="0"/>
          <w:numId w:val="1007"/>
        </w:numPr>
        <w:pStyle w:val="Compact"/>
      </w:pPr>
      <w:r>
        <w:t xml:space="preserve">💰 东方财富资金流接口返回 HTTP 502，全天个股与板块资金流入、流出榜均缺失。</w:t>
      </w:r>
    </w:p>
    <w:p>
      <w:pPr>
        <w:numPr>
          <w:ilvl w:val="0"/>
          <w:numId w:val="1007"/>
        </w:numPr>
        <w:pStyle w:val="Compact"/>
      </w:pPr>
      <w:r>
        <w:t xml:space="preserve">🔵 华泰数据是补充来源之一：午间十只正流入样本可按原值引用；收盘</w:t>
      </w:r>
      <w:r>
        <w:t xml:space="preserve"> </w:t>
      </w:r>
      <w:r>
        <w:rPr>
          <w:rStyle w:val="VerbatimChar"/>
        </w:rPr>
        <w:t xml:space="preserve">market_insight</w:t>
      </w:r>
      <w:r>
        <w:t xml:space="preserve"> </w:t>
      </w:r>
      <w:r>
        <w:t xml:space="preserve">只用于解释方向，不能覆盖缺失的本地结构化榜单。</w:t>
      </w:r>
    </w:p>
    <w:p>
      <w:pPr>
        <w:numPr>
          <w:ilvl w:val="0"/>
          <w:numId w:val="1007"/>
        </w:numPr>
        <w:pStyle w:val="Compact"/>
      </w:pPr>
      <w:r>
        <w:t xml:space="preserve">🚫 不使用搜索结果、华泰叙述或涨停表现反推资金净流入金额；资金流出 TOP10保持</w:t>
      </w:r>
      <w:r>
        <w:t xml:space="preserve">“</w:t>
      </w:r>
      <w:r>
        <w:t xml:space="preserve">未核验</w:t>
      </w:r>
      <w:r>
        <w:t xml:space="preserve">”</w:t>
      </w:r>
      <w:r>
        <w:t xml:space="preserve">。</w:t>
      </w:r>
    </w:p>
    <w:p>
      <w:pPr>
        <w:numPr>
          <w:ilvl w:val="0"/>
          <w:numId w:val="1007"/>
        </w:numPr>
        <w:pStyle w:val="Compact"/>
      </w:pPr>
      <w:r>
        <w:t xml:space="preserve">⚠️ 因缺少全天资金确认，任何强势方向都必须以明日板块资金延续和核心股承接作为触发条件。</w:t>
      </w:r>
    </w:p>
    <w:p>
      <w:r>
        <w:pict>
          <v:rect style="width:0;height:1.5pt" o:hralign="center" o:hrstd="t" o:hr="t"/>
        </w:pict>
      </w:r>
    </w:p>
    <w:p>
      <w:pPr>
        <w:pStyle w:val="Heading2"/>
      </w:pPr>
      <w:bookmarkStart w:id="27" w:name="市场情绪综合判断"/>
      <w:r>
        <w:t xml:space="preserve">🎭 市场情绪综合判断</w:t>
      </w:r>
      <w:bookmarkEnd w:id="27"/>
    </w:p>
    <w:p>
      <w:pPr>
        <w:numPr>
          <w:ilvl w:val="0"/>
          <w:numId w:val="1008"/>
        </w:numPr>
        <w:pStyle w:val="Compact"/>
      </w:pPr>
      <w:r>
        <w:t xml:space="preserve">📉 赚钱效应：偏弱。上涨 1846 家、下跌 3570 家，涨跌比为 1846:3570；午后上涨家数减少 332 家、跌停数增加 8 家。</w:t>
      </w:r>
    </w:p>
    <w:p>
      <w:pPr>
        <w:numPr>
          <w:ilvl w:val="0"/>
          <w:numId w:val="1008"/>
        </w:numPr>
        <w:pStyle w:val="Compact"/>
      </w:pPr>
      <w:r>
        <w:t xml:space="preserve">🔴 市场分歧：高。三大指数微红而科创50下跌，权重指数与多数个股表现背离；局部题材活跃未能带动广泛修复。</w:t>
      </w:r>
    </w:p>
    <w:p>
      <w:pPr>
        <w:numPr>
          <w:ilvl w:val="0"/>
          <w:numId w:val="1008"/>
        </w:numPr>
        <w:pStyle w:val="Compact"/>
      </w:pPr>
      <w:r>
        <w:t xml:space="preserve">🛡️ 市场风格：采用顶层</w:t>
      </w:r>
      <w:r>
        <w:t xml:space="preserve"> </w:t>
      </w:r>
      <w:r>
        <w:rPr>
          <w:rStyle w:val="VerbatimChar"/>
        </w:rPr>
        <w:t xml:space="preserve">derived.market_style</w:t>
      </w:r>
      <w:r>
        <w:t xml:space="preserve"> </w:t>
      </w:r>
      <w:r>
        <w:t xml:space="preserve">的</w:t>
      </w:r>
      <w:r>
        <w:t xml:space="preserve">“</w:t>
      </w:r>
      <w:r>
        <w:t xml:space="preserve">偏弱/防御</w:t>
      </w:r>
      <w:r>
        <w:t xml:space="preserve">”</w:t>
      </w:r>
      <w:r>
        <w:t xml:space="preserve">。指数尚未破坏，但高弹性成长和高位题材的容错率下降。</w:t>
      </w:r>
    </w:p>
    <w:p>
      <w:pPr>
        <w:numPr>
          <w:ilvl w:val="0"/>
          <w:numId w:val="1008"/>
        </w:numPr>
        <w:pStyle w:val="Compact"/>
      </w:pPr>
      <w:r>
        <w:t xml:space="preserve">🎭 情绪周期：由午间</w:t>
      </w:r>
      <w:r>
        <w:t xml:space="preserve">“</w:t>
      </w:r>
      <w:r>
        <w:t xml:space="preserve">震荡/均衡</w:t>
      </w:r>
      <w:r>
        <w:t xml:space="preserve">”</w:t>
      </w:r>
      <w:r>
        <w:t xml:space="preserve">转向收盘</w:t>
      </w:r>
      <w:r>
        <w:t xml:space="preserve">“</w:t>
      </w:r>
      <w:r>
        <w:t xml:space="preserve">退潮偏弱</w:t>
      </w:r>
      <w:r>
        <w:t xml:space="preserve">”</w:t>
      </w:r>
      <w:r>
        <w:t xml:space="preserve">。46 家涨停说明局部机会仍在，15 家跌停及 3570 家下跌说明风险扩散，尚非全面冰点，也不是可追涨的过热期。</w:t>
      </w:r>
    </w:p>
    <w:p>
      <w:pPr>
        <w:numPr>
          <w:ilvl w:val="0"/>
          <w:numId w:val="1008"/>
        </w:numPr>
        <w:pStyle w:val="Compact"/>
      </w:pPr>
      <w:r>
        <w:t xml:space="preserve">💰 量能：仅确认全日 17802.38 亿元；因昨日比较口径未核验，不以</w:t>
      </w:r>
      <w:r>
        <w:t xml:space="preserve">“</w:t>
      </w:r>
      <w:r>
        <w:t xml:space="preserve">缩量/放量</w:t>
      </w:r>
      <w:r>
        <w:t xml:space="preserve">”</w:t>
      </w:r>
      <w:r>
        <w:t xml:space="preserve">作为本轮强结论。</w:t>
      </w:r>
    </w:p>
    <w:p>
      <w:r>
        <w:pict>
          <v:rect style="width:0;height:1.5pt" o:hralign="center" o:hrstd="t" o:hr="t"/>
        </w:pict>
      </w:r>
    </w:p>
    <w:p>
      <w:pPr>
        <w:pStyle w:val="Heading2"/>
      </w:pPr>
      <w:bookmarkStart w:id="28" w:name="华泰自选股观察"/>
      <w:r>
        <w:t xml:space="preserve">🧾 华泰自选股观察</w:t>
      </w:r>
      <w:bookmarkEnd w:id="28"/>
    </w:p>
    <w:p>
      <w:pPr>
        <w:pStyle w:val="FirstParagraph"/>
      </w:pPr>
      <w:r>
        <w:t xml:space="preserve">华泰自选股共 3 只，收盘行情 3/3 返回成功，均为华泰单源，缺少新浪、东方财富、腾讯个股交叉校验。三只均未与培育钻石、航运形成直接共振；工商银行有防御属性，但当日自身走弱。整体以跟踪为主，暂不作为主攻方向。</w:t>
      </w:r>
    </w:p>
    <w:p>
      <w:pPr>
        <w:numPr>
          <w:ilvl w:val="0"/>
          <w:numId w:val="1009"/>
        </w:numPr>
        <w:pStyle w:val="Compact"/>
      </w:pPr>
      <w:r>
        <w:t xml:space="preserve">📈 603185 弘元绿能：最新价 14.83 元，涨 0.82%，前收 14.71 元。所属光伏设备；光伏未进入本次已确认强势线索，与当日局部主线无明显共振。判断：继续观察、可低吸跟踪但不追高；以跟踪为主、暂不作为主攻方向。明日需站稳 14.83 元并获得光伏板块联动才提高优先级。</w:t>
      </w:r>
    </w:p>
    <w:p>
      <w:pPr>
        <w:numPr>
          <w:ilvl w:val="0"/>
          <w:numId w:val="1009"/>
        </w:numPr>
        <w:pStyle w:val="Compact"/>
      </w:pPr>
      <w:r>
        <w:t xml:space="preserve">📈 603466 风语筑：最新价 12.09 元，涨 0.25%，前收 12.06 元。所属数字展示/文化创意，可关联AI应用和数字经济，但收盘数据未确认该板块主线地位。判断：继续观察、不追高；以跟踪为主、暂不作为主攻方向。放量站稳 12.09 元且AI应用形成联动后才可低吸跟踪。</w:t>
      </w:r>
    </w:p>
    <w:p>
      <w:pPr>
        <w:numPr>
          <w:ilvl w:val="0"/>
          <w:numId w:val="1009"/>
        </w:numPr>
        <w:pStyle w:val="Compact"/>
      </w:pPr>
      <w:r>
        <w:t xml:space="preserve">📉 601398 工商银行：最新价 8.10 元，跌 1.46%，前收 8.22 元。所属银行高股息，与</w:t>
      </w:r>
      <w:r>
        <w:t xml:space="preserve">“</w:t>
      </w:r>
      <w:r>
        <w:t xml:space="preserve">偏弱/防御</w:t>
      </w:r>
      <w:r>
        <w:t xml:space="preserve">”</w:t>
      </w:r>
      <w:r>
        <w:t xml:space="preserve">风格存在板块关系，但个股当日未共振、且较午间 8.17 元继续走低。判断：短线偏弱，已有底仓可保护利润；以跟踪为主、暂不作为主攻方向，不追高。</w:t>
      </w:r>
    </w:p>
    <w:p>
      <w:r>
        <w:pict>
          <v:rect style="width:0;height:1.5pt" o:hralign="center" o:hrstd="t" o:hr="t"/>
        </w:pict>
      </w:r>
    </w:p>
    <w:p>
      <w:pPr>
        <w:pStyle w:val="Heading2"/>
      </w:pPr>
      <w:bookmarkStart w:id="29" w:name="用户实盘持仓复盘策略"/>
      <w:r>
        <w:t xml:space="preserve">💼 用户实盘持仓复盘策略</w:t>
      </w:r>
      <w:bookmarkEnd w:id="29"/>
    </w:p>
    <w:p>
      <w:pPr>
        <w:pStyle w:val="Heading3"/>
      </w:pPr>
      <w:bookmarkStart w:id="30" w:name="弘元绿能300-股成本-26.6669-元"/>
      <w:r>
        <w:t xml:space="preserve">📉 603185 弘元绿能｜300 股｜成本 26.6669 元</w:t>
      </w:r>
      <w:bookmarkEnd w:id="30"/>
    </w:p>
    <w:p>
      <w:pPr>
        <w:numPr>
          <w:ilvl w:val="0"/>
          <w:numId w:val="1010"/>
        </w:numPr>
        <w:pStyle w:val="Compact"/>
      </w:pPr>
      <w:r>
        <w:t xml:space="preserve">📊 按华泰单源收盘价 14.83 元测算，浮亏 44.39%，浮亏金额 3551.07 元；趋势K线、成交量、公告及板块资金未核验。</w:t>
      </w:r>
    </w:p>
    <w:p>
      <w:pPr>
        <w:numPr>
          <w:ilvl w:val="0"/>
          <w:numId w:val="1010"/>
        </w:numPr>
        <w:pStyle w:val="Compact"/>
      </w:pPr>
      <w:r>
        <w:t xml:space="preserve">💡 明日动作：减仓观察优先，不因距离成本价较远而无条件补仓。</w:t>
      </w:r>
    </w:p>
    <w:p>
      <w:pPr>
        <w:numPr>
          <w:ilvl w:val="0"/>
          <w:numId w:val="1010"/>
        </w:numPr>
        <w:pStyle w:val="Compact"/>
      </w:pPr>
      <w:r>
        <w:t xml:space="preserve">🚫 减仓/离场触发：跌回 14.71 元前收下方且不能快速收复，或光伏板块继续无共振、个股放量走弱时，分批降低 1/3—1/2 仓位。</w:t>
      </w:r>
    </w:p>
    <w:p>
      <w:pPr>
        <w:numPr>
          <w:ilvl w:val="0"/>
          <w:numId w:val="1010"/>
        </w:numPr>
        <w:pStyle w:val="Compact"/>
      </w:pPr>
      <w:r>
        <w:t xml:space="preserve">✅ 条件加仓：只有站稳 14.83 元、回踩承接有效，且光伏设备出现板块资金转正与核心股联动后，才允许小仓加回。</w:t>
      </w:r>
    </w:p>
    <w:p>
      <w:pPr>
        <w:numPr>
          <w:ilvl w:val="0"/>
          <w:numId w:val="1010"/>
        </w:numPr>
        <w:pStyle w:val="Compact"/>
      </w:pPr>
      <w:r>
        <w:t xml:space="preserve">⚠️ 失效与风险：当前修复仅为单日小涨，不能证明中期趋势反转；下跌途中摊薄与等待回本均不是有效风控。</w:t>
      </w:r>
    </w:p>
    <w:p>
      <w:pPr>
        <w:pStyle w:val="Heading3"/>
      </w:pPr>
      <w:bookmarkStart w:id="31" w:name="风语筑700-股成本-13.2159-元"/>
      <w:r>
        <w:t xml:space="preserve">📉 603466 风语筑｜700 股｜成本 13.2159 元</w:t>
      </w:r>
      <w:bookmarkEnd w:id="31"/>
    </w:p>
    <w:p>
      <w:pPr>
        <w:numPr>
          <w:ilvl w:val="0"/>
          <w:numId w:val="1011"/>
        </w:numPr>
        <w:pStyle w:val="Compact"/>
      </w:pPr>
      <w:r>
        <w:t xml:space="preserve">📊 按华泰单源收盘价 12.09 元测算，浮亏 8.52%，浮亏金额 788.13 元；当日涨 0.25%，强度有限。</w:t>
      </w:r>
    </w:p>
    <w:p>
      <w:pPr>
        <w:numPr>
          <w:ilvl w:val="0"/>
          <w:numId w:val="1011"/>
        </w:numPr>
        <w:pStyle w:val="Compact"/>
      </w:pPr>
      <w:r>
        <w:t xml:space="preserve">💡 明日动作：持有观察，反弹不追；它不是当日已确认主线。</w:t>
      </w:r>
    </w:p>
    <w:p>
      <w:pPr>
        <w:numPr>
          <w:ilvl w:val="0"/>
          <w:numId w:val="1011"/>
        </w:numPr>
        <w:pStyle w:val="Compact"/>
      </w:pPr>
      <w:r>
        <w:t xml:space="preserve">🚫 减仓/离场触发：跌破 12.06 元前收后无法收回，或数字内容/AI应用无联动且个股放量转弱时，先减 1/3。</w:t>
      </w:r>
    </w:p>
    <w:p>
      <w:pPr>
        <w:numPr>
          <w:ilvl w:val="0"/>
          <w:numId w:val="1011"/>
        </w:numPr>
        <w:pStyle w:val="Compact"/>
      </w:pPr>
      <w:r>
        <w:t xml:space="preserve">✅ 条件加仓：放量站稳 12.09 元，回踩不破，并出现AI应用/数字经济板块资金与核心股共振后，才可小仓参与。</w:t>
      </w:r>
    </w:p>
    <w:p>
      <w:pPr>
        <w:numPr>
          <w:ilvl w:val="0"/>
          <w:numId w:val="1011"/>
        </w:numPr>
        <w:pStyle w:val="Compact"/>
      </w:pPr>
      <w:r>
        <w:t xml:space="preserve">⚠️ 失效与风险：题材轮动快、公司催化和公告未核验；禁止仅因接近 13.2159 元成本而加仓。</w:t>
      </w:r>
    </w:p>
    <w:p>
      <w:pPr>
        <w:pStyle w:val="Heading3"/>
      </w:pPr>
      <w:bookmarkStart w:id="32" w:name="工商银行1900-股成本-7.0601-元"/>
      <w:r>
        <w:t xml:space="preserve">📈 601398 工商银行｜1900 股｜成本 7.0601 元</w:t>
      </w:r>
      <w:bookmarkEnd w:id="32"/>
    </w:p>
    <w:p>
      <w:pPr>
        <w:numPr>
          <w:ilvl w:val="0"/>
          <w:numId w:val="1012"/>
        </w:numPr>
        <w:pStyle w:val="Compact"/>
      </w:pPr>
      <w:r>
        <w:t xml:space="preserve">📊 按华泰单源收盘价 8.10 元测算，浮盈 14.73%，浮盈金额 1975.81 元；当日跌 1.46%，午后由 8.17 元继续回落。</w:t>
      </w:r>
    </w:p>
    <w:p>
      <w:pPr>
        <w:numPr>
          <w:ilvl w:val="0"/>
          <w:numId w:val="1012"/>
        </w:numPr>
        <w:pStyle w:val="Compact"/>
      </w:pPr>
      <w:r>
        <w:t xml:space="preserve">💡 明日动作：持有但保护利润，短线由</w:t>
      </w:r>
      <w:r>
        <w:t xml:space="preserve">“</w:t>
      </w:r>
      <w:r>
        <w:t xml:space="preserve">稳健防御</w:t>
      </w:r>
      <w:r>
        <w:t xml:space="preserve">”</w:t>
      </w:r>
      <w:r>
        <w:t xml:space="preserve">降为</w:t>
      </w:r>
      <w:r>
        <w:t xml:space="preserve">“</w:t>
      </w:r>
      <w:r>
        <w:t xml:space="preserve">止盈观察</w:t>
      </w:r>
      <w:r>
        <w:t xml:space="preserve">”</w:t>
      </w:r>
      <w:r>
        <w:t xml:space="preserve">；不追高加仓。</w:t>
      </w:r>
    </w:p>
    <w:p>
      <w:pPr>
        <w:numPr>
          <w:ilvl w:val="0"/>
          <w:numId w:val="1012"/>
        </w:numPr>
        <w:pStyle w:val="Compact"/>
      </w:pPr>
      <w:r>
        <w:t xml:space="preserve">🚫 减仓/离场触发：不能收复 8.22 元前收且银行板块同步转弱，或继续跌破 8.10 元并放量时，可止盈 1/4—1/3。</w:t>
      </w:r>
    </w:p>
    <w:p>
      <w:pPr>
        <w:numPr>
          <w:ilvl w:val="0"/>
          <w:numId w:val="1012"/>
        </w:numPr>
        <w:pStyle w:val="Compact"/>
      </w:pPr>
      <w:r>
        <w:t xml:space="preserve">✅ 条件加仓：重新站稳 8.22 元、回踩确认不破，且银行相对沪深300恢复强势后，才考虑小仓加仓。</w:t>
      </w:r>
    </w:p>
    <w:p>
      <w:pPr>
        <w:numPr>
          <w:ilvl w:val="0"/>
          <w:numId w:val="1012"/>
        </w:numPr>
        <w:pStyle w:val="Compact"/>
      </w:pPr>
      <w:r>
        <w:t xml:space="preserve">⚠️ 失效与风险：高股息拥挤、净息差压力与防御资金撤离；若相对强势不能恢复，防御逻辑失效。</w:t>
      </w:r>
    </w:p>
    <w:p>
      <w:pPr>
        <w:pStyle w:val="Heading3"/>
      </w:pPr>
      <w:bookmarkStart w:id="33" w:name="农业银行5300-股成本-6.4244-元"/>
      <w:r>
        <w:t xml:space="preserve">⚠️ 601288 农业银行｜5300 股｜成本 6.4244 元</w:t>
      </w:r>
      <w:bookmarkEnd w:id="33"/>
    </w:p>
    <w:p>
      <w:pPr>
        <w:numPr>
          <w:ilvl w:val="0"/>
          <w:numId w:val="1013"/>
        </w:numPr>
        <w:pStyle w:val="Compact"/>
      </w:pPr>
      <w:r>
        <w:t xml:space="preserve">📊 本次收盘 JSON 未提供农业银行最新价，当前盈亏幅度、金额、量价趋势、支撑阻力与公告均未核验，禁止虚构价位。</w:t>
      </w:r>
    </w:p>
    <w:p>
      <w:pPr>
        <w:numPr>
          <w:ilvl w:val="0"/>
          <w:numId w:val="1013"/>
        </w:numPr>
        <w:pStyle w:val="Compact"/>
      </w:pPr>
      <w:r>
        <w:t xml:space="preserve">💡 明日动作：持有观察；开盘前或盘中先取得有效实时行情，再执行调整。</w:t>
      </w:r>
    </w:p>
    <w:p>
      <w:pPr>
        <w:numPr>
          <w:ilvl w:val="0"/>
          <w:numId w:val="1013"/>
        </w:numPr>
        <w:pStyle w:val="Compact"/>
      </w:pPr>
      <w:r>
        <w:t xml:space="preserve">🚫 减仓/离场触发：有效行情确认跌破近期平台支撑，且银行板块同步放量转弱，或出现放量长阴破坏趋势时分批减仓。</w:t>
      </w:r>
    </w:p>
    <w:p>
      <w:pPr>
        <w:numPr>
          <w:ilvl w:val="0"/>
          <w:numId w:val="1013"/>
        </w:numPr>
        <w:pStyle w:val="Compact"/>
      </w:pPr>
      <w:r>
        <w:t xml:space="preserve">✅ 条件加仓：仅在实时价、近期平台和成交量确认完整，银行相对指数继续强、回踩平台不破后小仓参与；不得以成本价作为加仓依据。</w:t>
      </w:r>
    </w:p>
    <w:p>
      <w:pPr>
        <w:numPr>
          <w:ilvl w:val="0"/>
          <w:numId w:val="1013"/>
        </w:numPr>
        <w:pStyle w:val="Compact"/>
      </w:pPr>
      <w:r>
        <w:t xml:space="preserve">⚠️ 失效与风险：行情缺失是首要执行风险；未核价前不新增仓位。</w:t>
      </w:r>
    </w:p>
    <w:p>
      <w:r>
        <w:pict>
          <v:rect style="width:0;height:1.5pt" o:hralign="center" o:hrstd="t" o:hr="t"/>
        </w:pict>
      </w:r>
    </w:p>
    <w:p>
      <w:pPr>
        <w:pStyle w:val="Heading2"/>
      </w:pPr>
      <w:bookmarkStart w:id="34" w:name="明日展望"/>
      <w:r>
        <w:t xml:space="preserve">🎯 明日展望</w:t>
      </w:r>
      <w:bookmarkEnd w:id="34"/>
    </w:p>
    <w:p>
      <w:pPr>
        <w:numPr>
          <w:ilvl w:val="0"/>
          <w:numId w:val="1014"/>
        </w:numPr>
        <w:pStyle w:val="Compact"/>
      </w:pPr>
      <w:r>
        <w:t xml:space="preserve">📊 基准判断：偏弱震荡。指数接近平收但市场广度恶化，明日先观察能否修复上涨家数与跌停扩散，而不是只看指数红绿。</w:t>
      </w:r>
    </w:p>
    <w:p>
      <w:pPr>
        <w:numPr>
          <w:ilvl w:val="0"/>
          <w:numId w:val="1014"/>
        </w:numPr>
        <w:pStyle w:val="Compact"/>
      </w:pPr>
      <w:r>
        <w:t xml:space="preserve">🔥 延续观察：培育钻石、港口航运具备午间到收盘延续线索；液冷服务器属于午后新起方向，需接受次日资金和核心股验证。</w:t>
      </w:r>
    </w:p>
    <w:p>
      <w:pPr>
        <w:numPr>
          <w:ilvl w:val="0"/>
          <w:numId w:val="1014"/>
        </w:numPr>
        <w:pStyle w:val="Compact"/>
      </w:pPr>
      <w:r>
        <w:t xml:space="preserve">💻 修复观察：三安光电、香农芯创、剑桥科技午间有正流入样本，但科创50收跌 0.3976%；只有成长指数转强和板块扩散同时出现，才视为硬科技回流。</w:t>
      </w:r>
    </w:p>
    <w:p>
      <w:pPr>
        <w:numPr>
          <w:ilvl w:val="0"/>
          <w:numId w:val="1014"/>
        </w:numPr>
        <w:pStyle w:val="Compact"/>
      </w:pPr>
      <w:r>
        <w:t xml:space="preserve">🛡️ 防御观察：银行、保险、券商仍可承担稳定指数角色，但工商银行当日跌 1.46%，不能把</w:t>
      </w:r>
      <w:r>
        <w:t xml:space="preserve">“</w:t>
      </w:r>
      <w:r>
        <w:t xml:space="preserve">大金融活跃</w:t>
      </w:r>
      <w:r>
        <w:t xml:space="preserve">”</w:t>
      </w:r>
      <w:r>
        <w:t xml:space="preserve">直接等同于所有银行个股偏强。</w:t>
      </w:r>
    </w:p>
    <w:p>
      <w:pPr>
        <w:numPr>
          <w:ilvl w:val="0"/>
          <w:numId w:val="1014"/>
        </w:numPr>
        <w:pStyle w:val="Compact"/>
      </w:pPr>
      <w:r>
        <w:t xml:space="preserve">💡 仓位严格采用顶层</w:t>
      </w:r>
      <w:r>
        <w:t xml:space="preserve"> </w:t>
      </w:r>
      <w:r>
        <w:rPr>
          <w:rStyle w:val="VerbatimChar"/>
        </w:rPr>
        <w:t xml:space="preserve">derived.position_model</w:t>
      </w:r>
      <w:r>
        <w:t xml:space="preserve">：激进 40%、稳健/均衡 25%、保守 10%，总仓上限 40%。关键源覆盖率仅 42.86%，资金流榜恢复前不突破上限。</w:t>
      </w:r>
    </w:p>
    <w:p>
      <w:pPr>
        <w:numPr>
          <w:ilvl w:val="0"/>
          <w:numId w:val="1014"/>
        </w:numPr>
        <w:pStyle w:val="Compact"/>
      </w:pPr>
      <w:r>
        <w:t xml:space="preserve">⚠️ 风险：高位兑现、热点轮动、跌停扩散、成长指数继续走弱，以及单源板块线索无法获得结构化资金确认。</w:t>
      </w:r>
    </w:p>
    <w:p>
      <w:r>
        <w:pict>
          <v:rect style="width:0;height:1.5pt" o:hralign="center" o:hrstd="t" o:hr="t"/>
        </w:pict>
      </w:r>
    </w:p>
    <w:p>
      <w:pPr>
        <w:pStyle w:val="Heading2"/>
      </w:pPr>
      <w:bookmarkStart w:id="35" w:name="明日投资方向排序"/>
      <w:r>
        <w:t xml:space="preserve">🎯 明日投资方向排序</w:t>
      </w:r>
      <w:bookmarkEnd w:id="35"/>
    </w:p>
    <w:p>
      <w:pPr>
        <w:pStyle w:val="Heading3"/>
      </w:pPr>
      <w:bookmarkStart w:id="36" w:name="方向一培育钻石人造金刚石散热材料优先级高"/>
      <w:r>
        <w:t xml:space="preserve">💎 方向一：培育钻石—人造金刚石/散热材料（优先级：高）</w:t>
      </w:r>
      <w:bookmarkEnd w:id="36"/>
    </w:p>
    <w:p>
      <w:pPr>
        <w:numPr>
          <w:ilvl w:val="0"/>
          <w:numId w:val="1015"/>
        </w:numPr>
        <w:pStyle w:val="Compact"/>
      </w:pPr>
      <w:r>
        <w:t xml:space="preserve">📌 证据链：华泰午间单源显示概念涨幅超过 4%、成交同比前一交易日同期增长超过 35%；黄河旋风午间净流入 8.57 亿元、涨 10.03%；收盘文本仍确认黄河旋风、博云新材涨停。</w:t>
      </w:r>
    </w:p>
    <w:p>
      <w:pPr>
        <w:numPr>
          <w:ilvl w:val="0"/>
          <w:numId w:val="1015"/>
        </w:numPr>
        <w:pStyle w:val="Compact"/>
      </w:pPr>
      <w:r>
        <w:t xml:space="preserve">🔥 核心标的：黄河旋风（资金与涨停强度共振）、博云新材（收盘涨停辨识度）、惠丰钻石（午间涨超 10%的高弹性样本，收盘状态未核验）。</w:t>
      </w:r>
    </w:p>
    <w:p>
      <w:pPr>
        <w:numPr>
          <w:ilvl w:val="0"/>
          <w:numId w:val="1015"/>
        </w:numPr>
        <w:pStyle w:val="Compact"/>
      </w:pPr>
      <w:r>
        <w:t xml:space="preserve">💡 参与策略：激进仓只做龙头首次分歧承接，单方向不超过 5%；稳健仓等待板块回踩不破与资金延续；保守仓不参与高位追涨。</w:t>
      </w:r>
    </w:p>
    <w:p>
      <w:pPr>
        <w:numPr>
          <w:ilvl w:val="0"/>
          <w:numId w:val="1015"/>
        </w:numPr>
        <w:pStyle w:val="Compact"/>
      </w:pPr>
      <w:r>
        <w:t xml:space="preserve">✅ 触发条件：黄河旋风、博云新材至少一只维持强势，板块出现两只以上联动，并取得明日结构化资金净流入确认。</w:t>
      </w:r>
    </w:p>
    <w:p>
      <w:pPr>
        <w:numPr>
          <w:ilvl w:val="0"/>
          <w:numId w:val="1015"/>
        </w:numPr>
        <w:pStyle w:val="Compact"/>
      </w:pPr>
      <w:r>
        <w:t xml:space="preserve">🚫 失效条件：龙头开板后无法修复、板块仅剩个股独立行情，或主力资金转为净流出。</w:t>
      </w:r>
    </w:p>
    <w:p>
      <w:pPr>
        <w:numPr>
          <w:ilvl w:val="0"/>
          <w:numId w:val="1015"/>
        </w:numPr>
        <w:pStyle w:val="Compact"/>
      </w:pPr>
      <w:r>
        <w:t xml:space="preserve">⚠️ 风险：证据均来自华泰单源，高潮次日兑现和题材扩散失败风险高。</w:t>
      </w:r>
    </w:p>
    <w:p>
      <w:pPr>
        <w:pStyle w:val="Heading3"/>
      </w:pPr>
      <w:bookmarkStart w:id="37" w:name="方向二港口航运油运干散货优先级中"/>
      <w:r>
        <w:t xml:space="preserve">🚢 方向二：港口航运—油运/干散货（优先级：中）</w:t>
      </w:r>
      <w:bookmarkEnd w:id="37"/>
    </w:p>
    <w:p>
      <w:pPr>
        <w:numPr>
          <w:ilvl w:val="0"/>
          <w:numId w:val="1016"/>
        </w:numPr>
        <w:pStyle w:val="Compact"/>
      </w:pPr>
      <w:r>
        <w:t xml:space="preserve">📌 证据链：华泰午间单源板块涨 2.77%；凤凰航运、中远海能午间涨停，国航远洋涨超 10%、海通发展盘中新高；收盘文本仍确认两只涨停，显示日内延续性。</w:t>
      </w:r>
    </w:p>
    <w:p>
      <w:pPr>
        <w:numPr>
          <w:ilvl w:val="0"/>
          <w:numId w:val="1016"/>
        </w:numPr>
        <w:pStyle w:val="Compact"/>
      </w:pPr>
      <w:r>
        <w:t xml:space="preserve">🔥 核心标的：中远海能（油运涨停辨识度）、凤凰航运（涨停延续样本）、海通发展（趋势新高样本）、国航远洋（高弹性样本）。</w:t>
      </w:r>
    </w:p>
    <w:p>
      <w:pPr>
        <w:numPr>
          <w:ilvl w:val="0"/>
          <w:numId w:val="1016"/>
        </w:numPr>
        <w:pStyle w:val="Compact"/>
      </w:pPr>
      <w:r>
        <w:t xml:space="preserve">💡 参与策略：激进仓等待涨停股分歧承接，不做一致性追高；稳健仓等待板块资金与成交额恢复验证；保守仓只跟踪运价与核心股趋势。</w:t>
      </w:r>
    </w:p>
    <w:p>
      <w:pPr>
        <w:numPr>
          <w:ilvl w:val="0"/>
          <w:numId w:val="1016"/>
        </w:numPr>
        <w:pStyle w:val="Compact"/>
      </w:pPr>
      <w:r>
        <w:t xml:space="preserve">✅ 触发条件：涨停核心不出现大幅低开，海通发展维持趋势，同时板块净流入和成交活跃得到结构化确认。</w:t>
      </w:r>
    </w:p>
    <w:p>
      <w:pPr>
        <w:numPr>
          <w:ilvl w:val="0"/>
          <w:numId w:val="1016"/>
        </w:numPr>
        <w:pStyle w:val="Compact"/>
      </w:pPr>
      <w:r>
        <w:t xml:space="preserve">🚫 失效条件：核心股开板走弱、板块无扩散，或事件/运价预期反转。</w:t>
      </w:r>
    </w:p>
    <w:p>
      <w:pPr>
        <w:numPr>
          <w:ilvl w:val="0"/>
          <w:numId w:val="1016"/>
        </w:numPr>
        <w:pStyle w:val="Compact"/>
      </w:pPr>
      <w:r>
        <w:t xml:space="preserve">⚠️ 风险：事件驱动波动大，全天板块资金与个股收盘多源行情缺失。</w:t>
      </w:r>
    </w:p>
    <w:p>
      <w:pPr>
        <w:pStyle w:val="Heading3"/>
      </w:pPr>
      <w:bookmarkStart w:id="38" w:name="方向三金融防御保险券商国有大行优先级中"/>
      <w:r>
        <w:t xml:space="preserve">🏦 方向三：金融防御—保险/券商/国有大行（优先级：中）</w:t>
      </w:r>
      <w:bookmarkEnd w:id="38"/>
    </w:p>
    <w:p>
      <w:pPr>
        <w:numPr>
          <w:ilvl w:val="0"/>
          <w:numId w:val="1017"/>
        </w:numPr>
        <w:pStyle w:val="Compact"/>
      </w:pPr>
      <w:r>
        <w:t xml:space="preserve">📌 证据链：午间华泰单源保险类涨 3.28%；中国平安午间净流入 7.40 亿元、涨 2.95%，中信证券净流入 4.06 亿元、涨 1.64%；沪深300收涨 0.1016%，强于科创50的 -0.3976%，但工商银行收跌 1.46%，内部出现分化。</w:t>
      </w:r>
    </w:p>
    <w:p>
      <w:pPr>
        <w:numPr>
          <w:ilvl w:val="0"/>
          <w:numId w:val="1017"/>
        </w:numPr>
        <w:pStyle w:val="Compact"/>
      </w:pPr>
      <w:r>
        <w:t xml:space="preserve">🔥 核心标的：中国平安（保险资金样本）、中信证券（券商资金样本）、工商银行（自选及持仓防御样本，但短线偏弱）。</w:t>
      </w:r>
    </w:p>
    <w:p>
      <w:pPr>
        <w:numPr>
          <w:ilvl w:val="0"/>
          <w:numId w:val="1017"/>
        </w:numPr>
        <w:pStyle w:val="Compact"/>
      </w:pPr>
      <w:r>
        <w:t xml:space="preserve">💡 参与策略：激进仓不把大金融作为追涨主攻；稳健仓等待保险/券商承接后低吸；保守仓以持有强势防御底仓为主，弱势银行先保护利润。</w:t>
      </w:r>
    </w:p>
    <w:p>
      <w:pPr>
        <w:numPr>
          <w:ilvl w:val="0"/>
          <w:numId w:val="1017"/>
        </w:numPr>
        <w:pStyle w:val="Compact"/>
      </w:pPr>
      <w:r>
        <w:t xml:space="preserve">✅ 触发条件：中国平安、中信证券维持强势，沪深300继续相对占优；工商银行需重新站稳 8.22 元才恢复偏强判断。</w:t>
      </w:r>
    </w:p>
    <w:p>
      <w:pPr>
        <w:numPr>
          <w:ilvl w:val="0"/>
          <w:numId w:val="1017"/>
        </w:numPr>
        <w:pStyle w:val="Compact"/>
      </w:pPr>
      <w:r>
        <w:t xml:space="preserve">🚫 失效条件：金融仅拉指数不扩散、核心股翻绿走弱，或银行板块同步放量下跌。</w:t>
      </w:r>
    </w:p>
    <w:p>
      <w:pPr>
        <w:numPr>
          <w:ilvl w:val="0"/>
          <w:numId w:val="1017"/>
        </w:numPr>
        <w:pStyle w:val="Compact"/>
      </w:pPr>
      <w:r>
        <w:t xml:space="preserve">⚠️ 风险：权重护盘掩盖个股亏钱效应，高股息交易拥挤及冲高兑现。</w:t>
      </w:r>
    </w:p>
    <w:p>
      <w:pPr>
        <w:pStyle w:val="Heading3"/>
      </w:pPr>
      <w:bookmarkStart w:id="39" w:name="方向四硬科技修复半导体光模块优先级观察"/>
      <w:r>
        <w:t xml:space="preserve">💻 方向四：硬科技修复—半导体/光模块（优先级：观察）</w:t>
      </w:r>
      <w:bookmarkEnd w:id="39"/>
    </w:p>
    <w:p>
      <w:pPr>
        <w:numPr>
          <w:ilvl w:val="0"/>
          <w:numId w:val="1018"/>
        </w:numPr>
        <w:pStyle w:val="Compact"/>
      </w:pPr>
      <w:r>
        <w:t xml:space="preserve">📌 证据链：三安光电午间净流入 11.27 亿元、涨 9.98%；香农芯创净流入 6.37 亿元、涨 7.45%；剑桥科技净流入 3.74 亿元、涨 4.21%；但科创50收跌 0.3976%，缺乏指数共振。</w:t>
      </w:r>
    </w:p>
    <w:p>
      <w:pPr>
        <w:numPr>
          <w:ilvl w:val="0"/>
          <w:numId w:val="1018"/>
        </w:numPr>
        <w:pStyle w:val="Compact"/>
      </w:pPr>
      <w:r>
        <w:t xml:space="preserve">🔥 核心标的：三安光电（正流入第一样本）、香农芯创（高弹性半导体样本）、剑桥科技（光模块样本）。</w:t>
      </w:r>
    </w:p>
    <w:p>
      <w:pPr>
        <w:numPr>
          <w:ilvl w:val="0"/>
          <w:numId w:val="1018"/>
        </w:numPr>
        <w:pStyle w:val="Compact"/>
      </w:pPr>
      <w:r>
        <w:t xml:space="preserve">💡 参与策略：激进仓只做龙头分歧修复；稳健仓等待科创50翻红和板块资金转正；保守仓继续观察，不参与高位反抽。</w:t>
      </w:r>
    </w:p>
    <w:p>
      <w:pPr>
        <w:numPr>
          <w:ilvl w:val="0"/>
          <w:numId w:val="1018"/>
        </w:numPr>
        <w:pStyle w:val="Compact"/>
      </w:pPr>
      <w:r>
        <w:t xml:space="preserve">✅ 触发条件：科创50转强，三只核心股至少两只保持强势，并有板块资金与成交扩散确认。</w:t>
      </w:r>
    </w:p>
    <w:p>
      <w:pPr>
        <w:numPr>
          <w:ilvl w:val="0"/>
          <w:numId w:val="1018"/>
        </w:numPr>
        <w:pStyle w:val="Compact"/>
      </w:pPr>
      <w:r>
        <w:t xml:space="preserve">🚫 失效条件：科创50继续下行、三安光电冲高回落，或香农芯创与剑桥科技同步转弱。</w:t>
      </w:r>
    </w:p>
    <w:p>
      <w:pPr>
        <w:numPr>
          <w:ilvl w:val="0"/>
          <w:numId w:val="1018"/>
        </w:numPr>
        <w:pStyle w:val="Compact"/>
      </w:pPr>
      <w:r>
        <w:t xml:space="preserve">⚠️ 风险：午间个股资金样本不等于全天板块主线，高位科技筹码松动可能放大回撤。</w:t>
      </w:r>
    </w:p>
    <w:p>
      <w:pPr>
        <w:pStyle w:val="Heading3"/>
      </w:pPr>
      <w:bookmarkStart w:id="40" w:name="方向五ai算力液冷服务器优先级观察"/>
      <w:r>
        <w:t xml:space="preserve">💧 方向五：AI算力—液冷服务器（优先级：观察）</w:t>
      </w:r>
      <w:bookmarkEnd w:id="40"/>
    </w:p>
    <w:p>
      <w:pPr>
        <w:numPr>
          <w:ilvl w:val="0"/>
          <w:numId w:val="1019"/>
        </w:numPr>
        <w:pStyle w:val="Compact"/>
      </w:pPr>
      <w:r>
        <w:t xml:space="preserve">📌 证据链：华泰收盘文本确认液冷服务器午后拉升并跑赢同期沪深300；其余板块涨幅、资金额、成交额、涨停扩散及核心个股均未进入结构化采集，证据不足。</w:t>
      </w:r>
    </w:p>
    <w:p>
      <w:pPr>
        <w:numPr>
          <w:ilvl w:val="0"/>
          <w:numId w:val="1019"/>
        </w:numPr>
        <w:pStyle w:val="Compact"/>
      </w:pPr>
      <w:r>
        <w:t xml:space="preserve">🔥 核心标的：未核验。采集 JSON 没有液冷服务器结构化候选清单，禁止自行补齐股票。</w:t>
      </w:r>
    </w:p>
    <w:p>
      <w:pPr>
        <w:numPr>
          <w:ilvl w:val="0"/>
          <w:numId w:val="1019"/>
        </w:numPr>
        <w:pStyle w:val="Compact"/>
      </w:pPr>
      <w:r>
        <w:t xml:space="preserve">💡 参与策略：激进、稳健、保守三类账户明日均先观察；只有结构化榜单恢复后再按强度分层参与。</w:t>
      </w:r>
    </w:p>
    <w:p>
      <w:pPr>
        <w:numPr>
          <w:ilvl w:val="0"/>
          <w:numId w:val="1019"/>
        </w:numPr>
        <w:pStyle w:val="Compact"/>
      </w:pPr>
      <w:r>
        <w:t xml:space="preserve">✅ 触发条件：板块涨幅、净流入、成交额和至少两只核心股同步走强。</w:t>
      </w:r>
    </w:p>
    <w:p>
      <w:pPr>
        <w:numPr>
          <w:ilvl w:val="0"/>
          <w:numId w:val="1019"/>
        </w:numPr>
        <w:pStyle w:val="Compact"/>
      </w:pPr>
      <w:r>
        <w:t xml:space="preserve">🚫 失效条件：早盘无扩散、冲高回落，或资金净流入无法确认。</w:t>
      </w:r>
    </w:p>
    <w:p>
      <w:pPr>
        <w:numPr>
          <w:ilvl w:val="0"/>
          <w:numId w:val="1019"/>
        </w:numPr>
        <w:pStyle w:val="Compact"/>
      </w:pPr>
      <w:r>
        <w:t xml:space="preserve">⚠️ 风险：当前只有华泰文本单源，容易把午后脉冲误判为持续主线。</w:t>
      </w:r>
    </w:p>
    <w:p>
      <w:r>
        <w:pict>
          <v:rect style="width:0;height:1.5pt" o:hralign="center" o:hrstd="t" o:hr="t"/>
        </w:pict>
      </w:r>
    </w:p>
    <w:p>
      <w:pPr>
        <w:pStyle w:val="Heading2"/>
      </w:pPr>
      <w:bookmarkStart w:id="41" w:name="数据质量与风险提示"/>
      <w:r>
        <w:t xml:space="preserve">⚠️ 数据质量与风险提示</w:t>
      </w:r>
      <w:bookmarkEnd w:id="41"/>
    </w:p>
    <w:p>
      <w:pPr>
        <w:numPr>
          <w:ilvl w:val="0"/>
          <w:numId w:val="1020"/>
        </w:numPr>
        <w:pStyle w:val="Compact"/>
      </w:pPr>
      <w:r>
        <w:t xml:space="preserve">🔴 顶层关键源覆盖率为 3/7（42.86%）。指数、同花顺市场广度与成交额可用；资金流、板块排行、活跃股、涨跌停样本及核心个股交叉校验失败。</w:t>
      </w:r>
    </w:p>
    <w:p>
      <w:pPr>
        <w:numPr>
          <w:ilvl w:val="0"/>
          <w:numId w:val="1020"/>
        </w:numPr>
        <w:pStyle w:val="Compact"/>
      </w:pPr>
      <w:r>
        <w:t xml:space="preserve">🔵 指数为新浪主源并经东方财富、腾讯交叉验证，比较项全部为</w:t>
      </w:r>
      <w:r>
        <w:t xml:space="preserve"> </w:t>
      </w:r>
      <w:r>
        <w:rPr>
          <w:rStyle w:val="VerbatimChar"/>
        </w:rPr>
        <w:t xml:space="preserve">ok</w:t>
      </w:r>
      <w:r>
        <w:t xml:space="preserve">；涨跌家数与全市场成交额为同花顺单源，可用但需标注单源。</w:t>
      </w:r>
    </w:p>
    <w:p>
      <w:pPr>
        <w:numPr>
          <w:ilvl w:val="0"/>
          <w:numId w:val="1020"/>
        </w:numPr>
        <w:pStyle w:val="Compact"/>
      </w:pPr>
      <w:r>
        <w:t xml:space="preserve">💰 成交额比较口径为</w:t>
      </w:r>
      <w:r>
        <w:t xml:space="preserve"> </w:t>
      </w:r>
      <w:r>
        <w:rPr>
          <w:rStyle w:val="VerbatimChar"/>
        </w:rPr>
        <w:t xml:space="preserve">unverified</w:t>
      </w:r>
      <w:r>
        <w:t xml:space="preserve">，只引用今日 17802.38 亿元及接口列示昨日 18202.97 亿元，不计算或引用变化百分比。</w:t>
      </w:r>
    </w:p>
    <w:p>
      <w:pPr>
        <w:numPr>
          <w:ilvl w:val="0"/>
          <w:numId w:val="1020"/>
        </w:numPr>
        <w:pStyle w:val="Compact"/>
      </w:pPr>
      <w:r>
        <w:t xml:space="preserve">🚫 全天资金流入 TOP10、资金流出 TOP10、领涨 TOP10、领跌 TOP5及龙头 TOP20均未核验；报告没有用华泰文本或搜索结果伪装成完整榜单。</w:t>
      </w:r>
    </w:p>
    <w:p>
      <w:pPr>
        <w:numPr>
          <w:ilvl w:val="0"/>
          <w:numId w:val="1020"/>
        </w:numPr>
        <w:pStyle w:val="Compact"/>
      </w:pPr>
      <w:r>
        <w:t xml:space="preserve">⚠️ 华泰</w:t>
      </w:r>
      <w:r>
        <w:t xml:space="preserve"> </w:t>
      </w:r>
      <w:r>
        <w:rPr>
          <w:rStyle w:val="VerbatimChar"/>
        </w:rPr>
        <w:t xml:space="preserve">market_insight</w:t>
      </w:r>
      <w:r>
        <w:t xml:space="preserve"> </w:t>
      </w:r>
      <w:r>
        <w:t xml:space="preserve">和午间</w:t>
      </w:r>
      <w:r>
        <w:t xml:space="preserve"> </w:t>
      </w:r>
      <w:r>
        <w:rPr>
          <w:rStyle w:val="VerbatimChar"/>
        </w:rPr>
        <w:t xml:space="preserve">select_stock</w:t>
      </w:r>
      <w:r>
        <w:t xml:space="preserve"> </w:t>
      </w:r>
      <w:r>
        <w:t xml:space="preserve">仅作补充数据源；涉及明日交易时，必须由实时量价、板块资金和核心股联动再次确认。</w:t>
      </w:r>
    </w:p>
    <w:p>
      <w:r>
        <w:pict>
          <v:rect style="width:0;height:1.5pt" o:hralign="center" o:hrstd="t" o:hr="t"/>
        </w:pict>
      </w:r>
    </w:p>
    <w:p>
      <w:pPr>
        <w:pStyle w:val="BlockText"/>
      </w:pPr>
      <w:r>
        <w:t xml:space="preserve">📊 生成时间：2026-09-03 15:15（北京时间，Asia/Shanghai）</w:t>
      </w:r>
      <w:r>
        <w:t xml:space="preserve"> </w:t>
      </w:r>
      <w:r>
        <w:t xml:space="preserve">🔮 by：先知 v1.0.3 — 周先生出品</w:t>
      </w:r>
      <w:r>
        <w:t xml:space="preserve"> </w:t>
      </w:r>
      <w:r>
        <w:t xml:space="preserve">🔵 数据采集模型：local-python</w:t>
      </w:r>
      <w:r>
        <w:t xml:space="preserve"> </w:t>
      </w:r>
      <w:r>
        <w:t xml:space="preserve">🔴 分析+写稿模型：hermes</w:t>
      </w:r>
      <w:r>
        <w:t xml:space="preserve"> </w:t>
      </w:r>
      <w:r>
        <w:t xml:space="preserve">📄 文档生成：pandoc (markdown → docx)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2026-09-03T07:21:52Z</dcterms:created>
  <dcterms:modified xsi:type="dcterms:W3CDTF">2026-09-03T07:21:52Z</dcterms:modified>
</cp:coreProperties>
</file>

<file path=docProps/custom.xml><?xml version="1.0" encoding="utf-8"?>
<Properties xmlns="http://schemas.openxmlformats.org/officeDocument/2006/custom-properties" xmlns:vt="http://schemas.openxmlformats.org/officeDocument/2006/docPropsVTypes"/>
</file>