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9-02周三"/>
      <w:r>
        <w:t xml:space="preserve">🕐 午盘总结 | 2026-09-02（周三）</w:t>
      </w:r>
      <w:bookmarkEnd w:id="20"/>
    </w:p>
    <w:p>
      <w:pPr>
        <w:pStyle w:val="BlockText"/>
      </w:pPr>
      <w:r>
        <w:t xml:space="preserve">数据基准：截至 2026-09-02 11:45（北京时间）。指数已由新浪、东方财富、腾讯三源交叉验证；涨跌家数与全市场成交额为同花顺单源。关键源覆盖率为 3/7（42.86%），资金流、板块排行、活跃股、涨跌停样本及核心个股多源校验缺失，相关内容按</w:t>
      </w:r>
      <w:r>
        <w:t xml:space="preserve">“</w:t>
      </w:r>
      <w:r>
        <w:t xml:space="preserve">未核验</w:t>
      </w:r>
      <w:r>
        <w:t xml:space="preserve">”</w:t>
      </w:r>
      <w:r>
        <w:t xml:space="preserve">降级。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上证指数报 3947.2585 点，跌 0.8199%；深证成指报 13635.325 点，跌 1.7088%；创业板指报 3319.388 点，跌 2.1819%。科创 50 跌 1.3185%，沪深 300 跌 1.2459%。三源点位与涨跌幅校验一致。</w:t>
      </w:r>
    </w:p>
    <w:p>
      <w:pPr>
        <w:numPr>
          <w:ilvl w:val="0"/>
          <w:numId w:val="1001"/>
        </w:numPr>
        <w:pStyle w:val="Compact"/>
      </w:pPr>
      <w:r>
        <w:t xml:space="preserve">💰 同花顺单源显示全市场半日累计成交额 12303.91 亿元，预测全天成交额 18547.85 亿元。因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，不使用</w:t>
      </w:r>
      <w:r>
        <w:t xml:space="preserve">“</w:t>
      </w:r>
      <w:r>
        <w:t xml:space="preserve">-1307.90 亿元</w:t>
      </w:r>
      <w:r>
        <w:t xml:space="preserve">”</w:t>
      </w:r>
      <w:r>
        <w:t xml:space="preserve">推导同比或环比变化百分比，也不把 20519.47 亿元直接表述为昨日同期成交额。</w:t>
      </w:r>
    </w:p>
    <w:p>
      <w:pPr>
        <w:numPr>
          <w:ilvl w:val="0"/>
          <w:numId w:val="1001"/>
        </w:numPr>
        <w:pStyle w:val="Compact"/>
      </w:pPr>
      <w:r>
        <w:t xml:space="preserve">📉 同花顺单源显示上涨 1485 家、下跌 3985 家、平盘 77 家；上涨/下跌家数比为 0.3726。涨停 41 家、跌停 6 家。</w:t>
      </w:r>
    </w:p>
    <w:p>
      <w:pPr>
        <w:numPr>
          <w:ilvl w:val="0"/>
          <w:numId w:val="1001"/>
        </w:numPr>
        <w:pStyle w:val="Compact"/>
      </w:pPr>
      <w:r>
        <w:t xml:space="preserve">🎭 一句话盘面：三大指数全线下跌、创业板领跌，3985 家下跌显示赚钱效应偏弱；指数与个股均承压，风格偏弱、防御。</w:t>
      </w:r>
    </w:p>
    <w:p>
      <w:pPr>
        <w:numPr>
          <w:ilvl w:val="0"/>
          <w:numId w:val="1001"/>
        </w:numPr>
        <w:pStyle w:val="Compact"/>
      </w:pPr>
      <w:r>
        <w:t xml:space="preserve">⚠️ 东方财富涨跌家数接口失败，广度数据未交叉验证；但同花顺结构完整，可作为本轮单源事实使用。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线索"/>
      <w:r>
        <w:t xml:space="preserve">🔥 领涨板块 TOP10 与龙头线索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 领涨板块 TOP10：未核验。</w:t>
      </w:r>
      <w:r>
        <w:rPr>
          <w:rStyle w:val="VerbatimChar"/>
        </w:rPr>
        <w:t xml:space="preserve">sector_performance.ok=false</w:t>
      </w:r>
      <w:r>
        <w:t xml:space="preserve">，东方财富接口返回 HTTP 502，采集 JSON 没有可用的结构化板块涨幅榜、板块成交额榜或板块资金榜。</w:t>
      </w:r>
    </w:p>
    <w:p>
      <w:pPr>
        <w:numPr>
          <w:ilvl w:val="0"/>
          <w:numId w:val="1002"/>
        </w:numPr>
        <w:pStyle w:val="Compact"/>
      </w:pPr>
      <w:r>
        <w:t xml:space="preserve">🚫 因</w:t>
      </w:r>
      <w:r>
        <w:t xml:space="preserve"> </w:t>
      </w:r>
      <w:r>
        <w:rPr>
          <w:rStyle w:val="VerbatimChar"/>
        </w:rPr>
        <w:t xml:space="preserve">active_stocks.ok=false</w:t>
      </w:r>
      <w:r>
        <w:t xml:space="preserve">、</w:t>
      </w:r>
      <w:r>
        <w:rPr>
          <w:rStyle w:val="VerbatimChar"/>
        </w:rPr>
        <w:t xml:space="preserve">limit_stocks.ok=false</w:t>
      </w:r>
      <w:r>
        <w:t xml:space="preserve">，不能把华泰文本提及的军工、电网设备直接写成已确认的全市场 TOP 板块，也不能确认内蒙一机、建设工业、长城军工、太阳电缆、神马电力的精确涨幅或封板质量。</w:t>
      </w:r>
    </w:p>
    <w:p>
      <w:pPr>
        <w:numPr>
          <w:ilvl w:val="0"/>
          <w:numId w:val="1002"/>
        </w:numPr>
        <w:pStyle w:val="Compact"/>
      </w:pPr>
      <w:r>
        <w:t xml:space="preserve">🔎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提供的是</w:t>
      </w:r>
      <w:r>
        <w:t xml:space="preserve">“</w:t>
      </w:r>
      <w:r>
        <w:t xml:space="preserve">主力净流入为正、涨幅排名前 20%、活跃股</w:t>
      </w:r>
      <w:r>
        <w:t xml:space="preserve">”</w:t>
      </w:r>
      <w:r>
        <w:t xml:space="preserve">的交集候选，不等同于板块 TOP10 或全市场主力净流入 TOP10。可核验的 10 条补充线索如下：</w:t>
      </w:r>
    </w:p>
    <w:p>
      <w:pPr>
        <w:numPr>
          <w:ilvl w:val="1"/>
          <w:numId w:val="1003"/>
        </w:numPr>
        <w:pStyle w:val="Compact"/>
      </w:pPr>
      <w:r>
        <w:t xml:space="preserve">*ST宝馨（002514）：2.27 元，涨 10.19%，主力净流入 764.58 万元；ST 风险高，仅作样本。</w:t>
      </w:r>
    </w:p>
    <w:p>
      <w:pPr>
        <w:numPr>
          <w:ilvl w:val="1"/>
          <w:numId w:val="1003"/>
        </w:numPr>
        <w:pStyle w:val="Compact"/>
      </w:pPr>
      <w:r>
        <w:t xml:space="preserve">大晟文化（600892）：5.35 元，涨 10.08%，主力净流入 1479.22 万元。</w:t>
      </w:r>
    </w:p>
    <w:p>
      <w:pPr>
        <w:numPr>
          <w:ilvl w:val="1"/>
          <w:numId w:val="1003"/>
        </w:numPr>
        <w:pStyle w:val="Compact"/>
      </w:pPr>
      <w:r>
        <w:t xml:space="preserve">恒宝股份（002104）：13.51 元，涨 10.02%，主力净流入 1.64 亿元。</w:t>
      </w:r>
    </w:p>
    <w:p>
      <w:pPr>
        <w:numPr>
          <w:ilvl w:val="1"/>
          <w:numId w:val="1003"/>
        </w:numPr>
        <w:pStyle w:val="Compact"/>
      </w:pPr>
      <w:r>
        <w:t xml:space="preserve">竞业达（003005）：20.00 元，涨 10.01%，主力净流入 3098.23 万元。</w:t>
      </w:r>
    </w:p>
    <w:p>
      <w:pPr>
        <w:numPr>
          <w:ilvl w:val="1"/>
          <w:numId w:val="1003"/>
        </w:numPr>
        <w:pStyle w:val="Compact"/>
      </w:pPr>
      <w:r>
        <w:t xml:space="preserve">小方制药（603207）：27.94 元，涨 10.00%，主力净流入 51.38 万元。</w:t>
      </w:r>
    </w:p>
    <w:p>
      <w:pPr>
        <w:numPr>
          <w:ilvl w:val="1"/>
          <w:numId w:val="1003"/>
        </w:numPr>
        <w:pStyle w:val="Compact"/>
      </w:pPr>
      <w:r>
        <w:t xml:space="preserve">杭电股份（603618）：37.22 元，涨 9.99%，主力净流入 4.48 亿元。</w:t>
      </w:r>
    </w:p>
    <w:p>
      <w:pPr>
        <w:numPr>
          <w:ilvl w:val="1"/>
          <w:numId w:val="1003"/>
        </w:numPr>
        <w:pStyle w:val="Compact"/>
      </w:pPr>
      <w:r>
        <w:t xml:space="preserve">沃特股份（002886）：30.84 元，涨 9.99%，主力净流入 1.87 亿元。</w:t>
      </w:r>
    </w:p>
    <w:p>
      <w:pPr>
        <w:numPr>
          <w:ilvl w:val="1"/>
          <w:numId w:val="1003"/>
        </w:numPr>
        <w:pStyle w:val="Compact"/>
      </w:pPr>
      <w:r>
        <w:t xml:space="preserve">远东股份（600869）：19.50 元，涨 9.98%，主力净流入 11.41 亿元。</w:t>
      </w:r>
    </w:p>
    <w:p>
      <w:pPr>
        <w:numPr>
          <w:ilvl w:val="1"/>
          <w:numId w:val="1003"/>
        </w:numPr>
        <w:pStyle w:val="Compact"/>
      </w:pPr>
      <w:r>
        <w:t xml:space="preserve">集泰股份（002909）：7.28 元，涨 9.97%，主力净流入 7083.96 万元。</w:t>
      </w:r>
    </w:p>
    <w:p>
      <w:pPr>
        <w:numPr>
          <w:ilvl w:val="1"/>
          <w:numId w:val="1003"/>
        </w:numPr>
        <w:pStyle w:val="Compact"/>
      </w:pPr>
      <w:r>
        <w:t xml:space="preserve">欢瑞世纪（000892）：5.20 元，涨 9.94%，主力净流入 5092.54 万元。</w:t>
      </w:r>
    </w:p>
    <w:p>
      <w:pPr>
        <w:numPr>
          <w:ilvl w:val="0"/>
          <w:numId w:val="1002"/>
        </w:numPr>
        <w:pStyle w:val="Compact"/>
      </w:pPr>
      <w:r>
        <w:t xml:space="preserve">⚠️ 上述候选均来自华泰单一补充源，且缺少新浪/东方财富/腾讯个股交叉校验；午后只能用于盯盘，不能据此追板或断言主线扩散。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-top10"/>
      <w:r>
        <w:t xml:space="preserve">💰 资金流向 TOP10</w:t>
      </w:r>
      <w:bookmarkEnd w:id="23"/>
    </w:p>
    <w:p>
      <w:pPr>
        <w:numPr>
          <w:ilvl w:val="0"/>
          <w:numId w:val="1004"/>
        </w:numPr>
        <w:pStyle w:val="Compact"/>
      </w:pPr>
      <w:r>
        <w:t xml:space="preserve">💰 主力净流入 TOP10：未核验。</w:t>
      </w:r>
      <w:r>
        <w:rPr>
          <w:rStyle w:val="VerbatimChar"/>
        </w:rPr>
        <w:t xml:space="preserve">money_flow.ok=false</w:t>
      </w:r>
      <w:r>
        <w:t xml:space="preserve">，采集 JSON 中没有全市场或板块维度的真实净流入 TOP10 榜单。</w:t>
      </w:r>
    </w:p>
    <w:p>
      <w:pPr>
        <w:numPr>
          <w:ilvl w:val="0"/>
          <w:numId w:val="1004"/>
        </w:numPr>
        <w:pStyle w:val="Compact"/>
      </w:pPr>
      <w:r>
        <w:t xml:space="preserve">⚠️ 主力净流出 TOP10：未核验。同一接口失败，采集 JSON 中没有真实净流出 TOP10 榜单与金额。</w:t>
      </w:r>
    </w:p>
    <w:p>
      <w:pPr>
        <w:numPr>
          <w:ilvl w:val="0"/>
          <w:numId w:val="1004"/>
        </w:numPr>
        <w:pStyle w:val="Compact"/>
      </w:pPr>
      <w:r>
        <w:t xml:space="preserve">🚫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 10 条结果是多条件交集候选，不是按主力净流入金额排序的 TOP10；不得改名冒充资金流入榜。华泰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中的</w:t>
      </w:r>
      <w:r>
        <w:t xml:space="preserve">“</w:t>
      </w:r>
      <w:r>
        <w:t xml:space="preserve">北向资金净流出</w:t>
      </w:r>
      <w:r>
        <w:t xml:space="preserve">”</w:t>
      </w:r>
      <w:r>
        <w:t xml:space="preserve">也没有结构化金额或本地来源校验，本报告不将其作为确定资金事实。</w:t>
      </w:r>
    </w:p>
    <w:p>
      <w:pPr>
        <w:numPr>
          <w:ilvl w:val="0"/>
          <w:numId w:val="1004"/>
        </w:numPr>
        <w:pStyle w:val="Compact"/>
      </w:pPr>
      <w:r>
        <w:t xml:space="preserve">💡 风险信号：在 3985 家下跌、创业板跌 2.1819%且资金榜缺失的环境下，午后不以单只涨停股的净流入金额外推整个板块强度。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出预警"/>
      <w:r>
        <w:t xml:space="preserve">⚠️ 资金流出预警</w:t>
      </w:r>
      <w:bookmarkEnd w:id="24"/>
    </w:p>
    <w:p>
      <w:pPr>
        <w:numPr>
          <w:ilvl w:val="0"/>
          <w:numId w:val="1005"/>
        </w:numPr>
        <w:pStyle w:val="Compact"/>
      </w:pPr>
      <w:r>
        <w:t xml:space="preserve">📉 华泰补充分析将科技成长、农业种植列为上午弱势线索，并提到电子、半导体、有色金属及光模块承压；但板块跌幅、净流出金额与成交额均未进入结构化榜单，统一标注</w:t>
      </w:r>
      <w:r>
        <w:t xml:space="preserve">“</w:t>
      </w:r>
      <w:r>
        <w:t xml:space="preserve">方向线索已出现，资金流出规模未核验</w:t>
      </w:r>
      <w:r>
        <w:t xml:space="preserve">”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🚫 对高位科技成长，按</w:t>
      </w:r>
      <w:r>
        <w:t xml:space="preserve">“</w:t>
      </w:r>
      <w:r>
        <w:t xml:space="preserve">高位兑现/题材退潮风险</w:t>
      </w:r>
      <w:r>
        <w:t xml:space="preserve">”</w:t>
      </w:r>
      <w:r>
        <w:t xml:space="preserve">处理；没有板块资金回流和核心股止跌前，不抢无量反抽。</w:t>
      </w:r>
    </w:p>
    <w:p>
      <w:pPr>
        <w:numPr>
          <w:ilvl w:val="0"/>
          <w:numId w:val="1005"/>
        </w:numPr>
        <w:pStyle w:val="Compact"/>
      </w:pPr>
      <w:r>
        <w:t xml:space="preserve">⚠️ 农业种植仅有华泰文本弱势描述，缺少本地板块排行和个股交叉校验；午后以回避为主，不补写跌幅和跌停数量。</w:t>
      </w:r>
    </w:p>
    <w:p>
      <w:pPr>
        <w:numPr>
          <w:ilvl w:val="0"/>
          <w:numId w:val="1005"/>
        </w:numPr>
        <w:pStyle w:val="Compact"/>
      </w:pPr>
      <w:r>
        <w:t xml:space="preserve">📉 弘元绿能上午跌 2.86%，说明盘前光伏政策预期没有在该自选股上形成价格共振；不能把光伏装机政策直接等同于制造端交易强度。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盘前预判-vs-上午实盘"/>
      <w:r>
        <w:t xml:space="preserve">🎯 盘前预判 vs 上午实盘</w:t>
      </w:r>
      <w:bookmarkEnd w:id="25"/>
    </w:p>
    <w:p>
      <w:pPr>
        <w:numPr>
          <w:ilvl w:val="0"/>
          <w:numId w:val="1006"/>
        </w:numPr>
        <w:pStyle w:val="Compact"/>
      </w:pPr>
      <w:r>
        <w:t xml:space="preserve">✅ 命中点一：盘前提示指数震荡与防御价值。上午上证跌 0.8199%，小于深证的 1.7088%和创业板的 2.1819%；工商银行逆势涨 0.74%，银行高股息的相对防御得到自选股样本验证。</w:t>
      </w:r>
    </w:p>
    <w:p>
      <w:pPr>
        <w:numPr>
          <w:ilvl w:val="0"/>
          <w:numId w:val="1006"/>
        </w:numPr>
        <w:pStyle w:val="Compact"/>
      </w:pPr>
      <w:r>
        <w:t xml:space="preserve">✅ 命中点二：盘前要求油气、军工、电网等方向必须等待资金与成交确认。上午结构化板块榜和资金榜仍缺失，因此维持</w:t>
      </w:r>
      <w:r>
        <w:t xml:space="preserve">“</w:t>
      </w:r>
      <w:r>
        <w:t xml:space="preserve">条件观察</w:t>
      </w:r>
      <w:r>
        <w:t xml:space="preserve">”</w:t>
      </w:r>
      <w:r>
        <w:t xml:space="preserve">，没有把文本热点升级为确定主线。</w:t>
      </w:r>
    </w:p>
    <w:p>
      <w:pPr>
        <w:numPr>
          <w:ilvl w:val="0"/>
          <w:numId w:val="1006"/>
        </w:numPr>
        <w:pStyle w:val="Compact"/>
      </w:pPr>
      <w:r>
        <w:t xml:space="preserve">❌ 偏差点一：盘前给出的市场基准为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，上午实际表现已转为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；上涨 1485 家、下跌 3985 家，风险强于盘前预案。</w:t>
      </w:r>
    </w:p>
    <w:p>
      <w:pPr>
        <w:numPr>
          <w:ilvl w:val="0"/>
          <w:numId w:val="1006"/>
        </w:numPr>
        <w:pStyle w:val="Compact"/>
      </w:pPr>
      <w:r>
        <w:t xml:space="preserve">❌ 偏差点二：光伏消纳/设备政策线索未在弘元绿能上兑现，弘元绿能报 14.62 元、跌 2.86%，应从</w:t>
      </w:r>
      <w:r>
        <w:t xml:space="preserve">“</w:t>
      </w:r>
      <w:r>
        <w:t xml:space="preserve">高优先级待确认</w:t>
      </w:r>
      <w:r>
        <w:t xml:space="preserve">”</w:t>
      </w:r>
      <w:r>
        <w:t xml:space="preserve">降为</w:t>
      </w:r>
      <w:r>
        <w:t xml:space="preserve">“</w:t>
      </w:r>
      <w:r>
        <w:t xml:space="preserve">跟踪、暂不主攻</w:t>
      </w:r>
      <w:r>
        <w:t xml:space="preserve">”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🔎 未验证项：油气方向没有本轮结构化板块与个股行情；不评价盘前油气预案命中或失效。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下午盘操作建议"/>
      <w:r>
        <w:t xml:space="preserve">🎯 下午盘操作建议</w:t>
      </w:r>
      <w:bookmarkEnd w:id="26"/>
    </w:p>
    <w:p>
      <w:pPr>
        <w:numPr>
          <w:ilvl w:val="0"/>
          <w:numId w:val="1007"/>
        </w:numPr>
        <w:pStyle w:val="Compact"/>
      </w:pPr>
      <w:r>
        <w:t xml:space="preserve">📊 市场判断：偏弱震荡。沪指上午低点 3932.2515 点，华泰文本提及 3930 点附近支撑；午后若不能稳定回到上午收盘 3947.2585 点上方，仍按弱势反抽对待。</w:t>
      </w:r>
    </w:p>
    <w:p>
      <w:pPr>
        <w:numPr>
          <w:ilvl w:val="0"/>
          <w:numId w:val="1007"/>
        </w:numPr>
        <w:pStyle w:val="Compact"/>
      </w:pPr>
      <w:r>
        <w:t xml:space="preserve">💡 仓位采用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：激进 40%、稳健 25%、保守 10%，总仓上限 40%。相比盘前 60%上限应主动收缩，不因预测全天成交额 18547.85 亿元而放宽仓位。</w:t>
      </w:r>
    </w:p>
    <w:p>
      <w:pPr>
        <w:numPr>
          <w:ilvl w:val="0"/>
          <w:numId w:val="1007"/>
        </w:numPr>
        <w:pStyle w:val="Compact"/>
      </w:pPr>
      <w:r>
        <w:t xml:space="preserve">🔥 可继续关注：电网设备/电缆仅限前排分歧承接；银行高股息适合作防守底仓。二者都不追午前高点。</w:t>
      </w:r>
    </w:p>
    <w:p>
      <w:pPr>
        <w:numPr>
          <w:ilvl w:val="0"/>
          <w:numId w:val="1007"/>
        </w:numPr>
        <w:pStyle w:val="Compact"/>
      </w:pPr>
      <w:r>
        <w:t xml:space="preserve">👀 只观察：国防军工。华泰文本有强势线索，但没有本地板块涨幅、资金和涨停样本交叉确认。</w:t>
      </w:r>
    </w:p>
    <w:p>
      <w:pPr>
        <w:numPr>
          <w:ilvl w:val="0"/>
          <w:numId w:val="1007"/>
        </w:numPr>
        <w:pStyle w:val="Compact"/>
      </w:pPr>
      <w:r>
        <w:t xml:space="preserve">🚫 回避/减仓：无资金回流验证的高位科技成长、农业种植弱势线索、光伏制造端跟风反弹，以及 ST 或封板质量未核验的高波动候选。</w:t>
      </w:r>
    </w:p>
    <w:p>
      <w:pPr>
        <w:numPr>
          <w:ilvl w:val="0"/>
          <w:numId w:val="1007"/>
        </w:numPr>
        <w:pStyle w:val="Compact"/>
      </w:pPr>
      <w:r>
        <w:t xml:space="preserve">⚠️ 风险：午后若上涨家数继续减少、创业板扩大跌幅，或沪指放量跌破上午低点 3932.2515 点，应把激进仓进一步降至 25%以内；若指数收复上午收盘位且强势方向扩散，再按触发条件逐步恢复。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下午投资方向分层"/>
      <w:r>
        <w:t xml:space="preserve">🎯 下午投资方向分层</w:t>
      </w:r>
      <w:bookmarkEnd w:id="27"/>
    </w:p>
    <w:p>
      <w:pPr>
        <w:pStyle w:val="Heading3"/>
      </w:pPr>
      <w:bookmarkStart w:id="28" w:name="方向一电网设备电缆环节可参与但仅限前排条件单"/>
      <w:r>
        <w:t xml:space="preserve">🔌 方向一：电网设备—电缆环节（可参与，但仅限前排条件单）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📌 证据链：华泰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将电网设备列为上午强势线索；华泰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中杭电股份涨 9.99%、净流入 4.48 亿元，远东股份涨 9.98%、净流入 11.41 亿元；同时全市场下跌 3985 家，说明该方向处于弱市高波动环境。</w:t>
      </w:r>
    </w:p>
    <w:p>
      <w:pPr>
        <w:numPr>
          <w:ilvl w:val="0"/>
          <w:numId w:val="1008"/>
        </w:numPr>
        <w:pStyle w:val="Compact"/>
      </w:pPr>
      <w:r>
        <w:t xml:space="preserve">🔥 核心标的：杭电股份（37.22 元，涨 9.99%，活跃候选）、远东股份（19.50 元，涨 9.98%，候选中净流入金额最高）。两者均为华泰单源，未完成三方行情校验。</w:t>
      </w:r>
    </w:p>
    <w:p>
      <w:pPr>
        <w:numPr>
          <w:ilvl w:val="0"/>
          <w:numId w:val="1008"/>
        </w:numPr>
        <w:pStyle w:val="Compact"/>
      </w:pPr>
      <w:r>
        <w:t xml:space="preserve">💡 参与策略：激进仓只在开板后快速回封或回踩承接明确时使用 5%—10%；稳健仓等待板块榜与资金源恢复后再参与；保守仓不追涨停附近价格。</w:t>
      </w:r>
    </w:p>
    <w:p>
      <w:pPr>
        <w:numPr>
          <w:ilvl w:val="0"/>
          <w:numId w:val="1008"/>
        </w:numPr>
        <w:pStyle w:val="Compact"/>
      </w:pPr>
      <w:r>
        <w:t xml:space="preserve">✅ 触发条件：核心股午后不出现连续放量开板，电网设备线索继续扩散，且指数不跌破上午低点 3932.2515 点。</w:t>
      </w:r>
    </w:p>
    <w:p>
      <w:pPr>
        <w:numPr>
          <w:ilvl w:val="0"/>
          <w:numId w:val="1008"/>
        </w:numPr>
        <w:pStyle w:val="Compact"/>
      </w:pPr>
      <w:r>
        <w:t xml:space="preserve">🚫 失效条件：杭电股份或远东股份开板后不能回封、华泰候选净流入转负，或指数放量破位。</w:t>
      </w:r>
    </w:p>
    <w:p>
      <w:pPr>
        <w:numPr>
          <w:ilvl w:val="0"/>
          <w:numId w:val="1008"/>
        </w:numPr>
        <w:pStyle w:val="Compact"/>
      </w:pPr>
      <w:r>
        <w:t xml:space="preserve">⚠️ 风险：缺少本地结构化板块交叉验证，单源候选可能出现封板质量误判和午后兑现。</w:t>
      </w:r>
    </w:p>
    <w:p>
      <w:pPr>
        <w:pStyle w:val="Heading3"/>
      </w:pPr>
      <w:bookmarkStart w:id="29" w:name="方向二银行高股息大盘防御可参与偏底仓"/>
      <w:r>
        <w:t xml:space="preserve">🏦 方向二：银行高股息—大盘防御（可参与，偏底仓）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📌 证据链：上证跌 0.8199%，明显强于创业板跌 2.1819%；沪深 300 跌 1.2459%，市场风格为偏弱/防御；工商银行报 8.21 元、涨 0.74%，在普跌环境中保持相对强势。</w:t>
      </w:r>
    </w:p>
    <w:p>
      <w:pPr>
        <w:numPr>
          <w:ilvl w:val="0"/>
          <w:numId w:val="1009"/>
        </w:numPr>
        <w:pStyle w:val="Compact"/>
      </w:pPr>
      <w:r>
        <w:t xml:space="preserve">🔥 核心标的：工商银行（601398，自选股与防御样本）；农业银行本轮没有实时行情，不给具体价位策略。</w:t>
      </w:r>
    </w:p>
    <w:p>
      <w:pPr>
        <w:numPr>
          <w:ilvl w:val="0"/>
          <w:numId w:val="1009"/>
        </w:numPr>
        <w:pStyle w:val="Compact"/>
      </w:pPr>
      <w:r>
        <w:t xml:space="preserve">💡 参与策略：激进资金不把银行作为弹性主攻；稳健仓可将工商银行作为 10%以内防御底仓；保守仓以已有持仓持有为主，不追涨。</w:t>
      </w:r>
    </w:p>
    <w:p>
      <w:pPr>
        <w:numPr>
          <w:ilvl w:val="0"/>
          <w:numId w:val="1009"/>
        </w:numPr>
        <w:pStyle w:val="Compact"/>
      </w:pPr>
      <w:r>
        <w:t xml:space="preserve">✅ 触发条件：工商银行维持 8.15 元前收上方、银行板块相对指数继续抗跌，且指数未进一步加速下行。</w:t>
      </w:r>
    </w:p>
    <w:p>
      <w:pPr>
        <w:numPr>
          <w:ilvl w:val="0"/>
          <w:numId w:val="1009"/>
        </w:numPr>
        <w:pStyle w:val="Compact"/>
      </w:pPr>
      <w:r>
        <w:t xml:space="preserve">🚫 失效条件：工商银行跌破 8.15 元后不能收回，或防御板块与指数同步放量下跌。</w:t>
      </w:r>
    </w:p>
    <w:p>
      <w:pPr>
        <w:numPr>
          <w:ilvl w:val="0"/>
          <w:numId w:val="1009"/>
        </w:numPr>
        <w:pStyle w:val="Compact"/>
      </w:pPr>
      <w:r>
        <w:t xml:space="preserve">⚠️ 风险：高股息拥挤、午后指数修复导致资金切回高弹性方向、净息差压力。</w:t>
      </w:r>
    </w:p>
    <w:p>
      <w:pPr>
        <w:pStyle w:val="Heading3"/>
      </w:pPr>
      <w:bookmarkStart w:id="30" w:name="方向三国防军工装备链只观察"/>
      <w:r>
        <w:t xml:space="preserve">🛡️ 方向三：国防军工—装备链（只观察）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📌 证据链：华泰文本提及军工上午反复活跃，并点名内蒙一机、建设工业、长城军工；盘前全球地缘线索提供情绪催化；但本轮板块涨幅、净流入、成交额和涨停样本全部未核验，证据链不完整。</w:t>
      </w:r>
    </w:p>
    <w:p>
      <w:pPr>
        <w:numPr>
          <w:ilvl w:val="0"/>
          <w:numId w:val="1010"/>
        </w:numPr>
        <w:pStyle w:val="Compact"/>
      </w:pPr>
      <w:r>
        <w:t xml:space="preserve">🔥 核心标的：内蒙一机、建设工业、长城军工仅作为华泰文本观察样本，最新价与涨幅不补写。</w:t>
      </w:r>
    </w:p>
    <w:p>
      <w:pPr>
        <w:numPr>
          <w:ilvl w:val="0"/>
          <w:numId w:val="1010"/>
        </w:numPr>
        <w:pStyle w:val="Compact"/>
      </w:pPr>
      <w:r>
        <w:t xml:space="preserve">💡 参与策略：激进仓等待前排分歧转一致后再评估；稳健与保守仓均先观察，不依据文本追涨。</w:t>
      </w:r>
    </w:p>
    <w:p>
      <w:pPr>
        <w:numPr>
          <w:ilvl w:val="0"/>
          <w:numId w:val="1010"/>
        </w:numPr>
        <w:pStyle w:val="Compact"/>
      </w:pPr>
      <w:r>
        <w:t xml:space="preserve">✅ 触发条件：板块资金源恢复后确认净流入、前排强度维持、涨停扩散得到结构化样本支持。</w:t>
      </w:r>
    </w:p>
    <w:p>
      <w:pPr>
        <w:numPr>
          <w:ilvl w:val="0"/>
          <w:numId w:val="1010"/>
        </w:numPr>
        <w:pStyle w:val="Compact"/>
      </w:pPr>
      <w:r>
        <w:t xml:space="preserve">🚫 失效条件：前排炸板、板块冲高回落，或地缘催化未转化为成交与资金。</w:t>
      </w:r>
    </w:p>
    <w:p>
      <w:pPr>
        <w:numPr>
          <w:ilvl w:val="0"/>
          <w:numId w:val="1010"/>
        </w:numPr>
        <w:pStyle w:val="Compact"/>
      </w:pPr>
      <w:r>
        <w:t xml:space="preserve">⚠️ 风险：事件脉冲、高位兑现、文本信息缺少本地交叉校验。</w:t>
      </w:r>
    </w:p>
    <w:p>
      <w:pPr>
        <w:pStyle w:val="Heading3"/>
      </w:pPr>
      <w:bookmarkStart w:id="31" w:name="方向四高位科技成长农业种植应回避"/>
      <w:r>
        <w:t xml:space="preserve">💻 方向四：高位科技成长/农业种植（应回避）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📌 证据链：创业板跌 2.1819%、科创 50 跌 1.3185%；华泰文本将电子、半导体、光模块和农业种植列为弱势线索；全市场下跌 3985 家，弱势方向的反抽容错率低。</w:t>
      </w:r>
    </w:p>
    <w:p>
      <w:pPr>
        <w:numPr>
          <w:ilvl w:val="0"/>
          <w:numId w:val="1011"/>
        </w:numPr>
        <w:pStyle w:val="Compact"/>
      </w:pPr>
      <w:r>
        <w:t xml:space="preserve">🔥 观察标的：不新增追涨候选。风语筑虽涨 1.42%，但数字内容/AI 应用未形成已核验的板块共振。</w:t>
      </w:r>
    </w:p>
    <w:p>
      <w:pPr>
        <w:numPr>
          <w:ilvl w:val="0"/>
          <w:numId w:val="1011"/>
        </w:numPr>
        <w:pStyle w:val="Compact"/>
      </w:pPr>
      <w:r>
        <w:t xml:space="preserve">💡 参与策略：激进仓只做已有强势持仓的止盈管理；稳健和保守仓不抄底，不以跌幅大作为买入理由。</w:t>
      </w:r>
    </w:p>
    <w:p>
      <w:pPr>
        <w:numPr>
          <w:ilvl w:val="0"/>
          <w:numId w:val="1011"/>
        </w:numPr>
        <w:pStyle w:val="Compact"/>
      </w:pPr>
      <w:r>
        <w:t xml:space="preserve">✅ 解除回避条件：相关指数止跌、板块资金转为持续净流入、成交核心出现放量修复并通过多源行情校验。</w:t>
      </w:r>
    </w:p>
    <w:p>
      <w:pPr>
        <w:numPr>
          <w:ilvl w:val="0"/>
          <w:numId w:val="1011"/>
        </w:numPr>
        <w:pStyle w:val="Compact"/>
      </w:pPr>
      <w:r>
        <w:t xml:space="preserve">🚫 失效条件：若继续缩量下跌或仅单股脉冲，维持回避。</w:t>
      </w:r>
    </w:p>
    <w:p>
      <w:pPr>
        <w:numPr>
          <w:ilvl w:val="0"/>
          <w:numId w:val="1011"/>
        </w:numPr>
        <w:pStyle w:val="Compact"/>
      </w:pPr>
      <w:r>
        <w:t xml:space="preserve">⚠️ 风险：高位筹码兑现、题材退潮、指数共振下跌。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华泰自选股观察"/>
      <w:r>
        <w:t xml:space="preserve">🧾 华泰自选股观察</w:t>
      </w:r>
      <w:bookmarkEnd w:id="32"/>
    </w:p>
    <w:p>
      <w:pPr>
        <w:pStyle w:val="FirstParagraph"/>
      </w:pPr>
      <w:r>
        <w:t xml:space="preserve">华泰自选股 3 只行情全部返回成功，但</w:t>
      </w:r>
      <w:r>
        <w:t xml:space="preserve"> </w:t>
      </w:r>
      <w:r>
        <w:rPr>
          <w:rStyle w:val="VerbatimChar"/>
        </w:rPr>
        <w:t xml:space="preserve">stock_quote_cross_checks.ok=false</w:t>
      </w:r>
      <w:r>
        <w:t xml:space="preserve">，均按华泰单源处理。整体上只有工商银行与防御风格明显共振；弘元绿能逆势走弱，风语筑虽上涨但缺少板块共振。除工商银行防御配置外，其余以跟踪为主、暂不作为主攻方向。</w:t>
      </w:r>
    </w:p>
    <w:p>
      <w:pPr>
        <w:numPr>
          <w:ilvl w:val="0"/>
          <w:numId w:val="1012"/>
        </w:numPr>
        <w:pStyle w:val="Compact"/>
      </w:pPr>
      <w:r>
        <w:t xml:space="preserve">📉 603185 弘元绿能：最新价 14.62 元，前收 15.05 元，跌 2.86%。所属光伏设备，与盘前光伏政策方向存在产业映射，但价格未与政策线索共振。判断：偏弱、继续观察，不追反抽；只有重新站上 15.05 元且光伏板块资金与成交同步改善，才可低吸跟踪。</w:t>
      </w:r>
    </w:p>
    <w:p>
      <w:pPr>
        <w:numPr>
          <w:ilvl w:val="0"/>
          <w:numId w:val="1012"/>
        </w:numPr>
        <w:pStyle w:val="Compact"/>
      </w:pPr>
      <w:r>
        <w:t xml:space="preserve">📈 603466 风语筑：最新价 12.11 元，前收 11.94 元，涨 1.42%。所属数字展示/文化创意，可映射数字内容与 AI 应用，但当日结构化主线、板块资金和活跃股榜均未核验。判断：相对偏强但以跟踪为主、暂不作为主攻方向；若跌回 11.94 元下方且不能收回，则转弱。</w:t>
      </w:r>
    </w:p>
    <w:p>
      <w:pPr>
        <w:numPr>
          <w:ilvl w:val="0"/>
          <w:numId w:val="1012"/>
        </w:numPr>
        <w:pStyle w:val="Compact"/>
      </w:pPr>
      <w:r>
        <w:t xml:space="preserve">📈 601398 工商银行：最新价 8.21 元，前收 8.15 元，涨 0.74%。所属银行高股息，与偏弱/防御风格共振，在三大指数下跌时表现出相对强度。判断：偏强、可作为稳健底仓持有，不追高；跌破 8.15 元并伴随银行板块同步转弱时减仓观察。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数据质量与执行边界"/>
      <w:r>
        <w:t xml:space="preserve">⚠️ 数据质量与执行边界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📊 关键源覆盖率 42.86%：指数、同花顺涨跌家数、同花顺成交额可用；资金流、板块表现、活跃股、涨跌停样本和个股多源校验不可用。</w:t>
      </w:r>
    </w:p>
    <w:p>
      <w:pPr>
        <w:numPr>
          <w:ilvl w:val="0"/>
          <w:numId w:val="1013"/>
        </w:numPr>
        <w:pStyle w:val="Compact"/>
      </w:pPr>
      <w:r>
        <w:t xml:space="preserve">💰 涨跌家数与成交额为单源事实，已明确标注；指数为新浪、东方财富、腾讯三源交叉验证。</w:t>
      </w:r>
    </w:p>
    <w:p>
      <w:pPr>
        <w:numPr>
          <w:ilvl w:val="0"/>
          <w:numId w:val="1013"/>
        </w:numPr>
        <w:pStyle w:val="Compact"/>
      </w:pPr>
      <w:r>
        <w:t xml:space="preserve">🚫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，因此只引用半日累计成交额 12303.91 亿元与预测全天 18547.85 亿元，不引用成交额变化百分比。</w:t>
      </w:r>
    </w:p>
    <w:p>
      <w:pPr>
        <w:numPr>
          <w:ilvl w:val="0"/>
          <w:numId w:val="1013"/>
        </w:numPr>
        <w:pStyle w:val="Compact"/>
      </w:pPr>
      <w:r>
        <w:t xml:space="preserve">⚠️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只作补充线索；涉及板块主线与核心股强度时，不能覆盖缺失的本地结构化榜单。</w:t>
      </w:r>
    </w:p>
    <w:p>
      <w:pPr>
        <w:numPr>
          <w:ilvl w:val="0"/>
          <w:numId w:val="1013"/>
        </w:numPr>
        <w:pStyle w:val="Compact"/>
      </w:pPr>
      <w:r>
        <w:t xml:space="preserve">💡 午后所有策略均以条件触发为前提；数据源未恢复前，总仓不突破 40%。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生成时间：2026-09-02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2026-09-02T03:52:11Z</dcterms:created>
  <dcterms:modified xsi:type="dcterms:W3CDTF">2026-09-02T03:52:11Z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