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盘前简报-2026-09-01周二"/>
      <w:r>
        <w:t xml:space="preserve">🌅 盘前简报 | 2026-09-01（周二）</w:t>
      </w:r>
      <w:bookmarkEnd w:id="20"/>
    </w:p>
    <w:p>
      <w:pPr>
        <w:pStyle w:val="BlockText"/>
      </w:pPr>
      <w:r>
        <w:t xml:space="preserve">数据基准：A股盘面与资金数据截至 2026-08-31 收盘；外盘商品、A50 与汇率截至 2026-09-01 08:30 前后。今日尚未开盘，盘中结论均为条件式预案。</w:t>
      </w:r>
    </w:p>
    <w:p>
      <w:pPr>
        <w:pStyle w:val="Heading2"/>
      </w:pPr>
      <w:bookmarkStart w:id="21" w:name="数据质量与盘前结论"/>
      <w:r>
        <w:t xml:space="preserve">📊 数据质量与盘前结论</w:t>
      </w:r>
      <w:bookmarkEnd w:id="21"/>
    </w:p>
    <w:p>
      <w:pPr>
        <w:numPr>
          <w:ilvl w:val="0"/>
          <w:numId w:val="1001"/>
        </w:numPr>
        <w:pStyle w:val="Compact"/>
      </w:pPr>
      <w:r>
        <w:t xml:space="preserve">📈 昨日上证指数 3986.298 点（+0.8633%）、深证成指 14014.997 点（+0.4439%）、创业板指 3438.681 点（+0.4170%）；新浪、东方财富、腾讯三源校验一致。</w:t>
      </w:r>
    </w:p>
    <w:p>
      <w:pPr>
        <w:numPr>
          <w:ilvl w:val="0"/>
          <w:numId w:val="1001"/>
        </w:numPr>
        <w:pStyle w:val="Compact"/>
      </w:pPr>
      <w:r>
        <w:t xml:space="preserve">🔴 科创50上涨 1.3379%，强于沪深300的 0.3452%，成长风格占优；同花顺单源显示上涨 3181 家、下跌 2218 家、平盘 146 家，涨跌家数比 1.43。</w:t>
      </w:r>
    </w:p>
    <w:p>
      <w:pPr>
        <w:numPr>
          <w:ilvl w:val="0"/>
          <w:numId w:val="1001"/>
        </w:numPr>
        <w:pStyle w:val="Compact"/>
      </w:pPr>
      <w:r>
        <w:t xml:space="preserve">💰 同花顺单源确认昨日全市场成交额 21453.55 亿元；因</w:t>
      </w:r>
      <w:r>
        <w:t xml:space="preserve"> </w:t>
      </w:r>
      <w:r>
        <w:rPr>
          <w:rStyle w:val="VerbatimChar"/>
        </w:rPr>
        <w:t xml:space="preserve">turnover_comparison_scope=unverified</w:t>
      </w:r>
      <w:r>
        <w:t xml:space="preserve">，不使用成交额变化百分比，也不据此判断</w:t>
      </w:r>
      <w:r>
        <w:t xml:space="preserve">“</w:t>
      </w:r>
      <w:r>
        <w:t xml:space="preserve">放量</w:t>
      </w:r>
      <w:r>
        <w:t xml:space="preserve">”</w:t>
      </w:r>
      <w:r>
        <w:t xml:space="preserve">。</w:t>
      </w:r>
    </w:p>
    <w:p>
      <w:pPr>
        <w:numPr>
          <w:ilvl w:val="0"/>
          <w:numId w:val="1001"/>
        </w:numPr>
        <w:pStyle w:val="Compact"/>
      </w:pPr>
      <w:r>
        <w:t xml:space="preserve">🔥 市场风格模型为</w:t>
      </w:r>
      <w:r>
        <w:t xml:space="preserve">“</w:t>
      </w:r>
      <w:r>
        <w:t xml:space="preserve">偏强/风险偏好较高</w:t>
      </w:r>
      <w:r>
        <w:t xml:space="preserve">”</w:t>
      </w:r>
      <w:r>
        <w:t xml:space="preserve">，仓位上限 80%；但今日面临上证 4000 点整数位、外盘偏弱线索与高位科技分化，策略定为</w:t>
      </w:r>
      <w:r>
        <w:t xml:space="preserve">“</w:t>
      </w:r>
      <w:r>
        <w:t xml:space="preserve">震荡偏强、先看承接，不追一致高开</w:t>
      </w:r>
      <w:r>
        <w:t xml:space="preserve">”</w:t>
      </w:r>
      <w:r>
        <w:t xml:space="preserve">。</w:t>
      </w:r>
    </w:p>
    <w:p>
      <w:pPr>
        <w:numPr>
          <w:ilvl w:val="0"/>
          <w:numId w:val="1001"/>
        </w:numPr>
        <w:pStyle w:val="Compact"/>
      </w:pPr>
      <w:r>
        <w:t xml:space="preserve">⚠️ 关键源覆盖率 6/7：涨跌停样本缺失；今日公告源请求失败。对应内容均降级为</w:t>
      </w:r>
      <w:r>
        <w:t xml:space="preserve">“</w:t>
      </w:r>
      <w:r>
        <w:t xml:space="preserve">未核验</w:t>
      </w:r>
      <w:r>
        <w:t xml:space="preserve">”</w:t>
      </w:r>
      <w:r>
        <w:t xml:space="preserve">，不补写榜单或公告。</w:t>
      </w:r>
    </w:p>
    <w:p>
      <w:r>
        <w:pict>
          <v:rect style="width:0;height:1.5pt" o:hralign="center" o:hrstd="t" o:hr="t"/>
        </w:pict>
      </w:r>
    </w:p>
    <w:p>
      <w:pPr>
        <w:pStyle w:val="Heading2"/>
      </w:pPr>
      <w:bookmarkStart w:id="22" w:name="隔夜全球市场"/>
      <w:r>
        <w:t xml:space="preserve">🌐 隔夜全球市场</w:t>
      </w:r>
      <w:bookmarkEnd w:id="22"/>
    </w:p>
    <w:p>
      <w:pPr>
        <w:numPr>
          <w:ilvl w:val="0"/>
          <w:numId w:val="1002"/>
        </w:numPr>
        <w:pStyle w:val="Compact"/>
      </w:pPr>
      <w:r>
        <w:t xml:space="preserve">🇨🇳 富时中国A50期指 14687.56，跌 0.10%；盘前情绪轻微偏空，不足以单独改变A股主线。</w:t>
      </w:r>
    </w:p>
    <w:p>
      <w:pPr>
        <w:numPr>
          <w:ilvl w:val="0"/>
          <w:numId w:val="1002"/>
        </w:numPr>
        <w:pStyle w:val="Compact"/>
      </w:pPr>
      <w:r>
        <w:t xml:space="preserve">🇭🇰 恒生指数 8月31日收 25584.791 点，跌 0.07%；9月1日港股尚未开盘，不能写作</w:t>
      </w:r>
      <w:r>
        <w:t xml:space="preserve">“</w:t>
      </w:r>
      <w:r>
        <w:t xml:space="preserve">港股早盘表现</w:t>
      </w:r>
      <w:r>
        <w:t xml:space="preserve">”</w:t>
      </w:r>
      <w:r>
        <w:t xml:space="preserve">。</w:t>
      </w:r>
    </w:p>
    <w:p>
      <w:pPr>
        <w:numPr>
          <w:ilvl w:val="0"/>
          <w:numId w:val="1002"/>
        </w:numPr>
        <w:pStyle w:val="Compact"/>
      </w:pPr>
      <w:r>
        <w:t xml:space="preserve">💱 美元离岸人民币 6.7172，变动 -0.01%；汇率端暂未显示明显贬值压力。</w:t>
      </w:r>
    </w:p>
    <w:p>
      <w:pPr>
        <w:numPr>
          <w:ilvl w:val="0"/>
          <w:numId w:val="1002"/>
        </w:numPr>
        <w:pStyle w:val="Compact"/>
      </w:pPr>
      <w:r>
        <w:t xml:space="preserve">🟡 COMEX黄金 4509.681，涨 0.63%；WTI原油 86.637，涨 1.02%；伦铜 14278.655，跌 0.11%。油价上涨与中东冲突线索共振，利好油气防御逻辑，但会增加航运、化工下游及制造成本压力。</w:t>
      </w:r>
    </w:p>
    <w:p>
      <w:pPr>
        <w:numPr>
          <w:ilvl w:val="0"/>
          <w:numId w:val="1002"/>
        </w:numPr>
        <w:pStyle w:val="Compact"/>
      </w:pPr>
      <w:r>
        <w:t xml:space="preserve">⚠️ 美股三大指数、重点中概股和欧洲股市的结构化具体数值未进入采集 JSON，本报告不引用华泰文本中的未交叉验证数值，统一标记为未核验。</w:t>
      </w:r>
    </w:p>
    <w:p>
      <w:r>
        <w:pict>
          <v:rect style="width:0;height:1.5pt" o:hralign="center" o:hrstd="t" o:hr="t"/>
        </w:pict>
      </w:r>
    </w:p>
    <w:p>
      <w:pPr>
        <w:pStyle w:val="Heading2"/>
      </w:pPr>
      <w:bookmarkStart w:id="23" w:name="新闻联播政策面"/>
      <w:r>
        <w:t xml:space="preserve">📺 新闻联播政策面</w:t>
      </w:r>
      <w:bookmarkEnd w:id="23"/>
    </w:p>
    <w:p>
      <w:pPr>
        <w:pStyle w:val="Heading3"/>
      </w:pPr>
      <w:bookmarkStart w:id="24" w:name="总体分析"/>
      <w:r>
        <w:t xml:space="preserve">📌 总体分析</w:t>
      </w:r>
      <w:bookmarkEnd w:id="24"/>
    </w:p>
    <w:p>
      <w:pPr>
        <w:numPr>
          <w:ilvl w:val="0"/>
          <w:numId w:val="1003"/>
        </w:numPr>
        <w:pStyle w:val="Compact"/>
      </w:pPr>
      <w:r>
        <w:t xml:space="preserve">🔴 政策主线之一是城市地下管网建设：国常会明确</w:t>
      </w:r>
      <w:r>
        <w:t xml:space="preserve">“</w:t>
      </w:r>
      <w:r>
        <w:t xml:space="preserve">系统推进、建管并重、质量安全贯穿全过程</w:t>
      </w:r>
      <w:r>
        <w:t xml:space="preserve">”</w:t>
      </w:r>
      <w:r>
        <w:t xml:space="preserve">，对管材、施工、检测、智慧水务和应急管理形成中期项目线索，属于实质性部署，但需观察订单与资金落地。</w:t>
      </w:r>
    </w:p>
    <w:p>
      <w:pPr>
        <w:numPr>
          <w:ilvl w:val="0"/>
          <w:numId w:val="1003"/>
        </w:numPr>
        <w:pStyle w:val="Compact"/>
      </w:pPr>
      <w:r>
        <w:t xml:space="preserve">🔴 中吉合作聚焦中吉乌铁路、口岸改造、绿色矿产、可再生能源、跨境电商和人工智能，利好</w:t>
      </w:r>
      <w:r>
        <w:t xml:space="preserve">“</w:t>
      </w:r>
      <w:r>
        <w:t xml:space="preserve">一带一路</w:t>
      </w:r>
      <w:r>
        <w:t xml:space="preserve">”</w:t>
      </w:r>
      <w:r>
        <w:t xml:space="preserve">工程、铁路设备、跨境物流和数字贸易的事件观察；不能仅凭外交表述追高。</w:t>
      </w:r>
    </w:p>
    <w:p>
      <w:pPr>
        <w:numPr>
          <w:ilvl w:val="0"/>
          <w:numId w:val="1003"/>
        </w:numPr>
        <w:pStyle w:val="Compact"/>
      </w:pPr>
      <w:r>
        <w:t xml:space="preserve">📈 8月制造业PMI为 49.8%，环比上升 0.6 个百分点；装备制造业和高技术制造业PMI分别为 51.4%和 52.9%，支持机械设备、电子和高端制造的结构性景气判断。</w:t>
      </w:r>
    </w:p>
    <w:p>
      <w:pPr>
        <w:numPr>
          <w:ilvl w:val="0"/>
          <w:numId w:val="1003"/>
        </w:numPr>
        <w:pStyle w:val="Compact"/>
      </w:pPr>
      <w:r>
        <w:t xml:space="preserve">🛍️ 消费品以旧换新累计带动销售超 1.54 万亿元，惠及超 2.06 亿人次；高能效家电、智能眼镜、运动相机、新能源乘用车具备政策与需求线索，但汽车板块昨日仍净流出，需等待资金验证。</w:t>
      </w:r>
    </w:p>
    <w:p>
      <w:pPr>
        <w:numPr>
          <w:ilvl w:val="0"/>
          <w:numId w:val="1003"/>
        </w:numPr>
        <w:pStyle w:val="Compact"/>
      </w:pPr>
      <w:r>
        <w:t xml:space="preserve">⚠️ 美伊互相打击、俄乌谈判条件不足、日本10年期国债收益率升至 2.950%附近，构成油价、全球利率和风险偏好扰动。今日最重要的失效信号是A50继续走弱、上证冲击4000点失败且主线资金转负。</w:t>
      </w:r>
    </w:p>
    <w:p>
      <w:pPr>
        <w:pStyle w:val="Heading3"/>
      </w:pPr>
      <w:bookmarkStart w:id="25" w:name="逐条新闻解读"/>
      <w:r>
        <w:t xml:space="preserve">📰 逐条新闻解读</w:t>
      </w:r>
      <w:bookmarkEnd w:id="25"/>
    </w:p>
    <w:p>
      <w:pPr>
        <w:pStyle w:val="Heading4"/>
      </w:pPr>
      <w:bookmarkStart w:id="26" w:name="习近平出席吉尔吉斯斯坦总统举行的欢迎仪式"/>
      <w:r>
        <w:t xml:space="preserve">习近平出席吉尔吉斯斯坦总统举行的欢迎仪式</w:t>
      </w:r>
      <w:bookmarkEnd w:id="26"/>
    </w:p>
    <w:p>
      <w:pPr>
        <w:numPr>
          <w:ilvl w:val="0"/>
          <w:numId w:val="1004"/>
        </w:numPr>
        <w:pStyle w:val="Compact"/>
      </w:pPr>
      <w:r>
        <w:t xml:space="preserve">A股影响：中性</w:t>
      </w:r>
    </w:p>
    <w:p>
      <w:pPr>
        <w:numPr>
          <w:ilvl w:val="0"/>
          <w:numId w:val="1004"/>
        </w:numPr>
        <w:pStyle w:val="Compact"/>
      </w:pPr>
      <w:r>
        <w:t xml:space="preserve">相关板块：无直接映射</w:t>
      </w:r>
    </w:p>
    <w:p>
      <w:pPr>
        <w:numPr>
          <w:ilvl w:val="0"/>
          <w:numId w:val="1004"/>
        </w:numPr>
        <w:pStyle w:val="Compact"/>
      </w:pPr>
      <w:r>
        <w:t xml:space="preserve">核心解读：礼仪性活动本身不构成可交易政策，市场影响应以后续合作文本为准。</w:t>
      </w:r>
    </w:p>
    <w:p>
      <w:pPr>
        <w:numPr>
          <w:ilvl w:val="0"/>
          <w:numId w:val="1004"/>
        </w:numPr>
        <w:pStyle w:val="Compact"/>
      </w:pPr>
      <w:r>
        <w:t xml:space="preserve">验证条件：观察中吉合作项目是否形成上市公司订单或正式公告；没有项目落地则维持中性。</w:t>
      </w:r>
    </w:p>
    <w:p>
      <w:pPr>
        <w:pStyle w:val="Heading4"/>
      </w:pPr>
      <w:bookmarkStart w:id="27" w:name="习近平同吉尔吉斯斯坦总统会谈"/>
      <w:r>
        <w:t xml:space="preserve">习近平同吉尔吉斯斯坦总统会谈</w:t>
      </w:r>
      <w:bookmarkEnd w:id="27"/>
    </w:p>
    <w:p>
      <w:pPr>
        <w:numPr>
          <w:ilvl w:val="0"/>
          <w:numId w:val="1005"/>
        </w:numPr>
        <w:pStyle w:val="Compact"/>
      </w:pPr>
      <w:r>
        <w:t xml:space="preserve">A股影响：偏利好</w:t>
      </w:r>
    </w:p>
    <w:p>
      <w:pPr>
        <w:numPr>
          <w:ilvl w:val="0"/>
          <w:numId w:val="1005"/>
        </w:numPr>
        <w:pStyle w:val="Compact"/>
      </w:pPr>
      <w:r>
        <w:t xml:space="preserve">相关板块：中吉乌铁路、铁路设备、跨境物流、口岸建设、绿色矿产、可再生能源、跨境电商、人工智能</w:t>
      </w:r>
    </w:p>
    <w:p>
      <w:pPr>
        <w:numPr>
          <w:ilvl w:val="0"/>
          <w:numId w:val="1005"/>
        </w:numPr>
        <w:pStyle w:val="Compact"/>
      </w:pPr>
      <w:r>
        <w:t xml:space="preserve">核心解读：双方明确推进铁路和口岸</w:t>
      </w:r>
      <w:r>
        <w:t xml:space="preserve">“</w:t>
      </w:r>
      <w:r>
        <w:t xml:space="preserve">硬联通</w:t>
      </w:r>
      <w:r>
        <w:t xml:space="preserve">”</w:t>
      </w:r>
      <w:r>
        <w:t xml:space="preserve">、数字贸易与跨境电商、绿色矿产全产业链及AI合作，并交换投资、交通、海关等文件，政策力度高于例行表态。</w:t>
      </w:r>
    </w:p>
    <w:p>
      <w:pPr>
        <w:numPr>
          <w:ilvl w:val="0"/>
          <w:numId w:val="1005"/>
        </w:numPr>
        <w:pStyle w:val="Compact"/>
      </w:pPr>
      <w:r>
        <w:t xml:space="preserve">验证条件：相关板块需出现成交放大、资金净流入及项目中标公告；若仅概念高开而无资金承接，应放弃追涨。</w:t>
      </w:r>
    </w:p>
    <w:p>
      <w:pPr>
        <w:pStyle w:val="Heading4"/>
      </w:pPr>
      <w:bookmarkStart w:id="28" w:name="习近平同吉尔吉斯斯坦总统小范围晤谈"/>
      <w:r>
        <w:t xml:space="preserve">习近平同吉尔吉斯斯坦总统小范围晤谈</w:t>
      </w:r>
      <w:bookmarkEnd w:id="28"/>
    </w:p>
    <w:p>
      <w:pPr>
        <w:numPr>
          <w:ilvl w:val="0"/>
          <w:numId w:val="1006"/>
        </w:numPr>
        <w:pStyle w:val="Compact"/>
      </w:pPr>
      <w:r>
        <w:t xml:space="preserve">A股影响：中性</w:t>
      </w:r>
    </w:p>
    <w:p>
      <w:pPr>
        <w:numPr>
          <w:ilvl w:val="0"/>
          <w:numId w:val="1006"/>
        </w:numPr>
        <w:pStyle w:val="Compact"/>
      </w:pPr>
      <w:r>
        <w:t xml:space="preserve">相关板块：文旅、人文交流</w:t>
      </w:r>
    </w:p>
    <w:p>
      <w:pPr>
        <w:numPr>
          <w:ilvl w:val="0"/>
          <w:numId w:val="1006"/>
        </w:numPr>
        <w:pStyle w:val="Compact"/>
      </w:pPr>
      <w:r>
        <w:t xml:space="preserve">核心解读：内容侧重文化交流和民心相通，对A股盈利端传导较弱。</w:t>
      </w:r>
    </w:p>
    <w:p>
      <w:pPr>
        <w:numPr>
          <w:ilvl w:val="0"/>
          <w:numId w:val="1006"/>
        </w:numPr>
        <w:pStyle w:val="Compact"/>
      </w:pPr>
      <w:r>
        <w:t xml:space="preserve">验证条件：只有后续形成文旅合作项目或客流数据改善时，才可提升影响评级。</w:t>
      </w:r>
    </w:p>
    <w:p>
      <w:pPr>
        <w:pStyle w:val="Heading4"/>
      </w:pPr>
      <w:bookmarkStart w:id="29" w:name="求是杂志发表习近平总书记重要文章坚持落实管党治党政治责任"/>
      <w:r>
        <w:t xml:space="preserve">《求是》杂志发表习近平总书记重要文章《坚持落实管党治党政治责任》</w:t>
      </w:r>
      <w:bookmarkEnd w:id="29"/>
    </w:p>
    <w:p>
      <w:pPr>
        <w:numPr>
          <w:ilvl w:val="0"/>
          <w:numId w:val="1007"/>
        </w:numPr>
        <w:pStyle w:val="Compact"/>
      </w:pPr>
      <w:r>
        <w:t xml:space="preserve">A股影响：中性</w:t>
      </w:r>
    </w:p>
    <w:p>
      <w:pPr>
        <w:numPr>
          <w:ilvl w:val="0"/>
          <w:numId w:val="1007"/>
        </w:numPr>
        <w:pStyle w:val="Compact"/>
      </w:pPr>
      <w:r>
        <w:t xml:space="preserve">相关板块：无直接映射</w:t>
      </w:r>
    </w:p>
    <w:p>
      <w:pPr>
        <w:numPr>
          <w:ilvl w:val="0"/>
          <w:numId w:val="1007"/>
        </w:numPr>
        <w:pStyle w:val="Compact"/>
      </w:pPr>
      <w:r>
        <w:t xml:space="preserve">核心解读：强调全面从严治党、权责对等和精准问责，主要影响治理预期，不直接形成行业增量需求。</w:t>
      </w:r>
    </w:p>
    <w:p>
      <w:pPr>
        <w:numPr>
          <w:ilvl w:val="0"/>
          <w:numId w:val="1007"/>
        </w:numPr>
        <w:pStyle w:val="Compact"/>
      </w:pPr>
      <w:r>
        <w:t xml:space="preserve">验证条件：若后续出台针对特定行业的审计、监管细则，再评估具体板块影响。</w:t>
      </w:r>
    </w:p>
    <w:p>
      <w:pPr>
        <w:pStyle w:val="Heading4"/>
      </w:pPr>
      <w:bookmarkStart w:id="30" w:name="李强主持召开国务院常务会议"/>
      <w:r>
        <w:t xml:space="preserve">李强主持召开国务院常务会议</w:t>
      </w:r>
      <w:bookmarkEnd w:id="30"/>
    </w:p>
    <w:p>
      <w:pPr>
        <w:numPr>
          <w:ilvl w:val="0"/>
          <w:numId w:val="1008"/>
        </w:numPr>
        <w:pStyle w:val="Compact"/>
      </w:pPr>
      <w:r>
        <w:t xml:space="preserve">A股影响：偏利好</w:t>
      </w:r>
    </w:p>
    <w:p>
      <w:pPr>
        <w:numPr>
          <w:ilvl w:val="0"/>
          <w:numId w:val="1008"/>
        </w:numPr>
        <w:pStyle w:val="Compact"/>
      </w:pPr>
      <w:r>
        <w:t xml:space="preserve">相关板块：地下管网、综合管廊、燃气安全、供排水、污水处理、工程检测、应急管理</w:t>
      </w:r>
    </w:p>
    <w:p>
      <w:pPr>
        <w:numPr>
          <w:ilvl w:val="0"/>
          <w:numId w:val="1008"/>
        </w:numPr>
        <w:pStyle w:val="Compact"/>
      </w:pPr>
      <w:r>
        <w:t xml:space="preserve">核心解读：城市地下管网被明确为现代化基础设施的重要组成，强调统一规划、可持续运营和全流程安全，具备项目与设备更新传导逻辑；规范招商与税收征管则利于全国统一大市场，但会压缩依赖非规范地方优惠的模式。</w:t>
      </w:r>
    </w:p>
    <w:p>
      <w:pPr>
        <w:numPr>
          <w:ilvl w:val="0"/>
          <w:numId w:val="1008"/>
        </w:numPr>
        <w:pStyle w:val="Compact"/>
      </w:pPr>
      <w:r>
        <w:t xml:space="preserve">验证条件：地下管网方向需观察冠龙节能等辨识度标的承接、板块资金流与订单公告；若高开低走且无扩散，按事件脉冲处理。</w:t>
      </w:r>
    </w:p>
    <w:p>
      <w:pPr>
        <w:pStyle w:val="Heading4"/>
      </w:pPr>
      <w:bookmarkStart w:id="31" w:name="赵乐际同奥地利国民议会议长会谈"/>
      <w:r>
        <w:t xml:space="preserve">赵乐际同奥地利国民议会议长会谈</w:t>
      </w:r>
      <w:bookmarkEnd w:id="31"/>
    </w:p>
    <w:p>
      <w:pPr>
        <w:numPr>
          <w:ilvl w:val="0"/>
          <w:numId w:val="1009"/>
        </w:numPr>
        <w:pStyle w:val="Compact"/>
      </w:pPr>
      <w:r>
        <w:t xml:space="preserve">A股影响：中性</w:t>
      </w:r>
    </w:p>
    <w:p>
      <w:pPr>
        <w:numPr>
          <w:ilvl w:val="0"/>
          <w:numId w:val="1009"/>
        </w:numPr>
        <w:pStyle w:val="Compact"/>
      </w:pPr>
      <w:r>
        <w:t xml:space="preserve">相关板块：人工智能、数字经济、中欧经贸</w:t>
      </w:r>
    </w:p>
    <w:p>
      <w:pPr>
        <w:numPr>
          <w:ilvl w:val="0"/>
          <w:numId w:val="1009"/>
        </w:numPr>
        <w:pStyle w:val="Compact"/>
      </w:pPr>
      <w:r>
        <w:t xml:space="preserve">核心解读：释放加强AI、数字经济合作及以对话解决中欧经贸分歧的信号，但没有具体产业金额和项目清单。</w:t>
      </w:r>
    </w:p>
    <w:p>
      <w:pPr>
        <w:numPr>
          <w:ilvl w:val="0"/>
          <w:numId w:val="1009"/>
        </w:numPr>
        <w:pStyle w:val="Compact"/>
      </w:pPr>
      <w:r>
        <w:t xml:space="preserve">验证条件：等待中欧经贸措施或企业合作协议；没有增量文件则不作为主攻依据。</w:t>
      </w:r>
    </w:p>
    <w:p>
      <w:pPr>
        <w:pStyle w:val="Heading4"/>
      </w:pPr>
      <w:bookmarkStart w:id="32" w:name="王沪宁会见奥地利国民议会议长"/>
      <w:r>
        <w:t xml:space="preserve">王沪宁会见奥地利国民议会议长</w:t>
      </w:r>
      <w:bookmarkEnd w:id="32"/>
    </w:p>
    <w:p>
      <w:pPr>
        <w:numPr>
          <w:ilvl w:val="0"/>
          <w:numId w:val="1010"/>
        </w:numPr>
        <w:pStyle w:val="Compact"/>
      </w:pPr>
      <w:r>
        <w:t xml:space="preserve">A股影响：中性</w:t>
      </w:r>
    </w:p>
    <w:p>
      <w:pPr>
        <w:numPr>
          <w:ilvl w:val="0"/>
          <w:numId w:val="1010"/>
        </w:numPr>
        <w:pStyle w:val="Compact"/>
      </w:pPr>
      <w:r>
        <w:t xml:space="preserve">相关板块：无直接映射</w:t>
      </w:r>
    </w:p>
    <w:p>
      <w:pPr>
        <w:numPr>
          <w:ilvl w:val="0"/>
          <w:numId w:val="1010"/>
        </w:numPr>
        <w:pStyle w:val="Compact"/>
      </w:pPr>
      <w:r>
        <w:t xml:space="preserve">核心解读：主要为双边关系与人文合作表述，对上市公司业绩缺少直接传导。</w:t>
      </w:r>
    </w:p>
    <w:p>
      <w:pPr>
        <w:numPr>
          <w:ilvl w:val="0"/>
          <w:numId w:val="1010"/>
        </w:numPr>
        <w:pStyle w:val="Compact"/>
      </w:pPr>
      <w:r>
        <w:t xml:space="preserve">验证条件：后续若有经贸或科技合作项目，再映射到具体行业。</w:t>
      </w:r>
    </w:p>
    <w:p>
      <w:pPr>
        <w:pStyle w:val="Heading4"/>
      </w:pPr>
      <w:bookmarkStart w:id="33" w:name="X14930b593f5012362c2d629734aea1d2b5fab33"/>
      <w:r>
        <w:t xml:space="preserve">丁薛祥将赴俄罗斯出席第十一届东方经济论坛并举行中俄投资合作委员会第十三次会议、能源合作委员会第二十三次会议和第八届中俄能源商务论坛</w:t>
      </w:r>
      <w:bookmarkEnd w:id="33"/>
    </w:p>
    <w:p>
      <w:pPr>
        <w:numPr>
          <w:ilvl w:val="0"/>
          <w:numId w:val="1011"/>
        </w:numPr>
        <w:pStyle w:val="Compact"/>
      </w:pPr>
      <w:r>
        <w:t xml:space="preserve">A股影响：偏利好</w:t>
      </w:r>
    </w:p>
    <w:p>
      <w:pPr>
        <w:numPr>
          <w:ilvl w:val="0"/>
          <w:numId w:val="1011"/>
        </w:numPr>
        <w:pStyle w:val="Compact"/>
      </w:pPr>
      <w:r>
        <w:t xml:space="preserve">相关板块：中俄能源合作、油气装备、跨境物流、对俄贸易</w:t>
      </w:r>
    </w:p>
    <w:p>
      <w:pPr>
        <w:numPr>
          <w:ilvl w:val="0"/>
          <w:numId w:val="1011"/>
        </w:numPr>
        <w:pStyle w:val="Compact"/>
      </w:pPr>
      <w:r>
        <w:t xml:space="preserve">核心解读：9月2日至4日会议形成明确事件窗口，叠加WTI原油上涨 1.02%，油气与能源装备具备盘前催化，但尚无具体签约项目。</w:t>
      </w:r>
    </w:p>
    <w:p>
      <w:pPr>
        <w:numPr>
          <w:ilvl w:val="0"/>
          <w:numId w:val="1011"/>
        </w:numPr>
        <w:pStyle w:val="Compact"/>
      </w:pPr>
      <w:r>
        <w:t xml:space="preserve">验证条件：需等待会议成果、板块净流入和核心股放量；若油价回落或无合作增量，事件逻辑失效。</w:t>
      </w:r>
    </w:p>
    <w:p>
      <w:pPr>
        <w:pStyle w:val="Heading4"/>
      </w:pPr>
      <w:bookmarkStart w:id="34" w:name="我国制造业景气水平较上月明显改善"/>
      <w:r>
        <w:t xml:space="preserve">我国制造业景气水平较上月明显改善</w:t>
      </w:r>
      <w:bookmarkEnd w:id="34"/>
    </w:p>
    <w:p>
      <w:pPr>
        <w:numPr>
          <w:ilvl w:val="0"/>
          <w:numId w:val="1012"/>
        </w:numPr>
        <w:pStyle w:val="Compact"/>
      </w:pPr>
      <w:r>
        <w:t xml:space="preserve">A股影响：偏利好</w:t>
      </w:r>
    </w:p>
    <w:p>
      <w:pPr>
        <w:numPr>
          <w:ilvl w:val="0"/>
          <w:numId w:val="1012"/>
        </w:numPr>
        <w:pStyle w:val="Compact"/>
      </w:pPr>
      <w:r>
        <w:t xml:space="preserve">相关板块：装备制造、高技术制造、机械设备、电子</w:t>
      </w:r>
    </w:p>
    <w:p>
      <w:pPr>
        <w:numPr>
          <w:ilvl w:val="0"/>
          <w:numId w:val="1012"/>
        </w:numPr>
        <w:pStyle w:val="Compact"/>
      </w:pPr>
      <w:r>
        <w:t xml:space="preserve">核心解读：8月制造业PMI 49.8%，虽仍低于50%荣枯线，但环比改善 0.6 个百分点；装备制造业和高技术制造业分别处于 51.4%、52.9%的扩张区间，结构性强于总量。</w:t>
      </w:r>
    </w:p>
    <w:p>
      <w:pPr>
        <w:numPr>
          <w:ilvl w:val="0"/>
          <w:numId w:val="1012"/>
        </w:numPr>
        <w:pStyle w:val="Compact"/>
      </w:pPr>
      <w:r>
        <w:t xml:space="preserve">验证条件：机械设备和电子需延续昨日资金净流入；总PMI若未能重返扩张区间，不能外推为全面复苏。</w:t>
      </w:r>
    </w:p>
    <w:p>
      <w:pPr>
        <w:pStyle w:val="Heading4"/>
      </w:pPr>
      <w:bookmarkStart w:id="35" w:name="西藏吉隆县泥石流灾害抢险救援工作持续推进"/>
      <w:r>
        <w:t xml:space="preserve">西藏吉隆县泥石流灾害抢险救援工作持续推进</w:t>
      </w:r>
      <w:bookmarkEnd w:id="35"/>
    </w:p>
    <w:p>
      <w:pPr>
        <w:numPr>
          <w:ilvl w:val="0"/>
          <w:numId w:val="1013"/>
        </w:numPr>
        <w:pStyle w:val="Compact"/>
      </w:pPr>
      <w:r>
        <w:t xml:space="preserve">A股影响：中性</w:t>
      </w:r>
    </w:p>
    <w:p>
      <w:pPr>
        <w:numPr>
          <w:ilvl w:val="0"/>
          <w:numId w:val="1013"/>
        </w:numPr>
        <w:pStyle w:val="Compact"/>
      </w:pPr>
      <w:r>
        <w:t xml:space="preserve">相关板块：应急救援、通信保障、道路抢修、地质监测</w:t>
      </w:r>
    </w:p>
    <w:p>
      <w:pPr>
        <w:numPr>
          <w:ilvl w:val="0"/>
          <w:numId w:val="1013"/>
        </w:numPr>
        <w:pStyle w:val="Compact"/>
      </w:pPr>
      <w:r>
        <w:t xml:space="preserve">核心解读：灾害救援凸显高原应急装备、通信和地质监测需求，但事件首先是公共安全事项，不应进行灾害题材炒作。</w:t>
      </w:r>
    </w:p>
    <w:p>
      <w:pPr>
        <w:numPr>
          <w:ilvl w:val="0"/>
          <w:numId w:val="1013"/>
        </w:numPr>
        <w:pStyle w:val="Compact"/>
      </w:pPr>
      <w:r>
        <w:t xml:space="preserve">验证条件：仅关注后续全国性防灾能力建设政策和真实采购订单。</w:t>
      </w:r>
    </w:p>
    <w:p>
      <w:pPr>
        <w:pStyle w:val="Heading4"/>
      </w:pPr>
      <w:bookmarkStart w:id="36" w:name="今年以来消费品以旧换新带动销售额超1.54万亿元"/>
      <w:r>
        <w:t xml:space="preserve">今年以来消费品以旧换新带动销售额超1.54万亿元</w:t>
      </w:r>
      <w:bookmarkEnd w:id="36"/>
    </w:p>
    <w:p>
      <w:pPr>
        <w:numPr>
          <w:ilvl w:val="0"/>
          <w:numId w:val="1014"/>
        </w:numPr>
        <w:pStyle w:val="Compact"/>
      </w:pPr>
      <w:r>
        <w:t xml:space="preserve">A股影响：利好</w:t>
      </w:r>
    </w:p>
    <w:p>
      <w:pPr>
        <w:numPr>
          <w:ilvl w:val="0"/>
          <w:numId w:val="1014"/>
        </w:numPr>
        <w:pStyle w:val="Compact"/>
      </w:pPr>
      <w:r>
        <w:t xml:space="preserve">相关板块：高能效家电、智能眼镜、运动相机、新能源汽车、消费电子</w:t>
      </w:r>
    </w:p>
    <w:p>
      <w:pPr>
        <w:numPr>
          <w:ilvl w:val="0"/>
          <w:numId w:val="1014"/>
        </w:numPr>
        <w:pStyle w:val="Compact"/>
      </w:pPr>
      <w:r>
        <w:t xml:space="preserve">核心解读：销售额与惠及人次均有明确数据，高能效家电前七个月零售额同比增速超30%，新能源乘用车渗透率连续四个月突破60%，政策传导已体现到消费端。</w:t>
      </w:r>
    </w:p>
    <w:p>
      <w:pPr>
        <w:numPr>
          <w:ilvl w:val="0"/>
          <w:numId w:val="1014"/>
        </w:numPr>
        <w:pStyle w:val="Compact"/>
      </w:pPr>
      <w:r>
        <w:t xml:space="preserve">验证条件：消费电子可观察昨日 22.57 亿元主力净流入能否延续；汽车昨日净流出 12.12 亿元，必须先出现资金回流再参与。</w:t>
      </w:r>
    </w:p>
    <w:p>
      <w:pPr>
        <w:pStyle w:val="Heading4"/>
      </w:pPr>
      <w:bookmarkStart w:id="37" w:name="Xf9c08afa8a817639c3a3a534a099a583ba641e7"/>
      <w:r>
        <w:t xml:space="preserve">推动构建中吉命运共同体 开启双边关系新篇章——吉尔吉斯斯坦各界高度评价习近平主席国事访问</w:t>
      </w:r>
      <w:bookmarkEnd w:id="37"/>
    </w:p>
    <w:p>
      <w:pPr>
        <w:numPr>
          <w:ilvl w:val="0"/>
          <w:numId w:val="1015"/>
        </w:numPr>
        <w:pStyle w:val="Compact"/>
      </w:pPr>
      <w:r>
        <w:t xml:space="preserve">A股影响：中性</w:t>
      </w:r>
    </w:p>
    <w:p>
      <w:pPr>
        <w:numPr>
          <w:ilvl w:val="0"/>
          <w:numId w:val="1015"/>
        </w:numPr>
        <w:pStyle w:val="Compact"/>
      </w:pPr>
      <w:r>
        <w:t xml:space="preserve">相关板块：一带一路、中亚合作</w:t>
      </w:r>
    </w:p>
    <w:p>
      <w:pPr>
        <w:numPr>
          <w:ilvl w:val="0"/>
          <w:numId w:val="1015"/>
        </w:numPr>
        <w:pStyle w:val="Compact"/>
      </w:pPr>
      <w:r>
        <w:t xml:space="preserve">核心解读：强化中吉合作预期，但属于访问成果的评价性报道，增量信息少于元首会谈正文。</w:t>
      </w:r>
    </w:p>
    <w:p>
      <w:pPr>
        <w:numPr>
          <w:ilvl w:val="0"/>
          <w:numId w:val="1015"/>
        </w:numPr>
        <w:pStyle w:val="Compact"/>
      </w:pPr>
      <w:r>
        <w:t xml:space="preserve">验证条件：以中吉乌铁路、口岸和投资项目实际进展为准。</w:t>
      </w:r>
    </w:p>
    <w:p>
      <w:pPr>
        <w:pStyle w:val="Heading4"/>
      </w:pPr>
      <w:bookmarkStart w:id="38" w:name="上海合作组织国家人文交流活动在比什凯克举行"/>
      <w:r>
        <w:t xml:space="preserve">2026上海合作组织国家人文交流活动在比什凯克举行</w:t>
      </w:r>
      <w:bookmarkEnd w:id="38"/>
    </w:p>
    <w:p>
      <w:pPr>
        <w:numPr>
          <w:ilvl w:val="0"/>
          <w:numId w:val="1016"/>
        </w:numPr>
        <w:pStyle w:val="Compact"/>
      </w:pPr>
      <w:r>
        <w:t xml:space="preserve">A股影响：中性</w:t>
      </w:r>
    </w:p>
    <w:p>
      <w:pPr>
        <w:numPr>
          <w:ilvl w:val="0"/>
          <w:numId w:val="1016"/>
        </w:numPr>
        <w:pStyle w:val="Compact"/>
      </w:pPr>
      <w:r>
        <w:t xml:space="preserve">相关板块：国际传播、媒体合作</w:t>
      </w:r>
    </w:p>
    <w:p>
      <w:pPr>
        <w:numPr>
          <w:ilvl w:val="0"/>
          <w:numId w:val="1016"/>
        </w:numPr>
        <w:pStyle w:val="Compact"/>
      </w:pPr>
      <w:r>
        <w:t xml:space="preserve">核心解读：媒体合作行动计划与CGTN俄语频道落地有助国际传播，但对A股公司直接盈利映射有限。</w:t>
      </w:r>
    </w:p>
    <w:p>
      <w:pPr>
        <w:numPr>
          <w:ilvl w:val="0"/>
          <w:numId w:val="1016"/>
        </w:numPr>
        <w:pStyle w:val="Compact"/>
      </w:pPr>
      <w:r>
        <w:t xml:space="preserve">验证条件：若出现上市媒体公司的具体合作、版权或技术服务订单，再提升关注度。</w:t>
      </w:r>
    </w:p>
    <w:p>
      <w:pPr>
        <w:pStyle w:val="Heading4"/>
      </w:pPr>
      <w:bookmarkStart w:id="39" w:name="国际联播快讯"/>
      <w:r>
        <w:t xml:space="preserve">国际联播快讯</w:t>
      </w:r>
      <w:bookmarkEnd w:id="39"/>
    </w:p>
    <w:p>
      <w:pPr>
        <w:numPr>
          <w:ilvl w:val="0"/>
          <w:numId w:val="1017"/>
        </w:numPr>
        <w:pStyle w:val="Compact"/>
      </w:pPr>
      <w:r>
        <w:t xml:space="preserve">A股影响：偏利空</w:t>
      </w:r>
    </w:p>
    <w:p>
      <w:pPr>
        <w:numPr>
          <w:ilvl w:val="0"/>
          <w:numId w:val="1017"/>
        </w:numPr>
        <w:pStyle w:val="Compact"/>
      </w:pPr>
      <w:r>
        <w:t xml:space="preserve">相关板块：油气相对受益；航空、化工下游、高估值成长承压；贵金属存在避险与利率上行的对冲</w:t>
      </w:r>
    </w:p>
    <w:p>
      <w:pPr>
        <w:numPr>
          <w:ilvl w:val="0"/>
          <w:numId w:val="1017"/>
        </w:numPr>
        <w:pStyle w:val="Compact"/>
      </w:pPr>
      <w:r>
        <w:t xml:space="preserve">核心解读：美伊互相打击抬升原油与供应链风险；俄乌谈判缺乏条件延长地缘不确定性；日本10年期国债收益率一度达 2.950%，全球利率上行可能压制高估值资产。</w:t>
      </w:r>
    </w:p>
    <w:p>
      <w:pPr>
        <w:numPr>
          <w:ilvl w:val="0"/>
          <w:numId w:val="1017"/>
        </w:numPr>
        <w:pStyle w:val="Compact"/>
      </w:pPr>
      <w:r>
        <w:t xml:space="preserve">验证条件：观察油价、A50、人民币和成长股开盘承接；若冲突降温且利率回落，风险映射减弱。</w:t>
      </w:r>
    </w:p>
    <w:p>
      <w:r>
        <w:pict>
          <v:rect style="width:0;height:1.5pt" o:hralign="center" o:hrstd="t" o:hr="t"/>
        </w:pict>
      </w:r>
    </w:p>
    <w:p>
      <w:pPr>
        <w:pStyle w:val="Heading2"/>
      </w:pPr>
      <w:bookmarkStart w:id="40" w:name="今日重要公告"/>
      <w:r>
        <w:t xml:space="preserve">📋 今日重要公告</w:t>
      </w:r>
      <w:bookmarkEnd w:id="40"/>
    </w:p>
    <w:p>
      <w:pPr>
        <w:numPr>
          <w:ilvl w:val="0"/>
          <w:numId w:val="1018"/>
        </w:numPr>
        <w:pStyle w:val="Compact"/>
      </w:pPr>
      <w:r>
        <w:t xml:space="preserve">⚠️ 东方财富公告源返回 HTTP 567，增减持、解禁、业绩、停复牌、重组及监管问询均未核验。</w:t>
      </w:r>
    </w:p>
    <w:p>
      <w:pPr>
        <w:numPr>
          <w:ilvl w:val="0"/>
          <w:numId w:val="1018"/>
        </w:numPr>
        <w:pStyle w:val="Compact"/>
      </w:pPr>
      <w:r>
        <w:t xml:space="preserve">🚫 今日不得根据本报告假设某公司</w:t>
      </w:r>
      <w:r>
        <w:t xml:space="preserve">“</w:t>
      </w:r>
      <w:r>
        <w:t xml:space="preserve">无公告风险</w:t>
      </w:r>
      <w:r>
        <w:t xml:space="preserve">”</w:t>
      </w:r>
      <w:r>
        <w:t xml:space="preserve">。开盘前与下单前需再次核对交易所公告和公司公告。</w:t>
      </w:r>
    </w:p>
    <w:p>
      <w:r>
        <w:pict>
          <v:rect style="width:0;height:1.5pt" o:hralign="center" o:hrstd="t" o:hr="t"/>
        </w:pict>
      </w:r>
    </w:p>
    <w:p>
      <w:pPr>
        <w:pStyle w:val="Heading2"/>
      </w:pPr>
      <w:bookmarkStart w:id="41" w:name="今日经济数据与事件"/>
      <w:r>
        <w:t xml:space="preserve">📅 今日经济数据与事件</w:t>
      </w:r>
      <w:bookmarkEnd w:id="41"/>
    </w:p>
    <w:p>
      <w:pPr>
        <w:numPr>
          <w:ilvl w:val="0"/>
          <w:numId w:val="1019"/>
        </w:numPr>
        <w:pStyle w:val="Compact"/>
      </w:pPr>
      <w:r>
        <w:t xml:space="preserve">📊 已确认的国内宏观基准：8月制造业PMI为 49.8%，环比上升 0.6 个百分点；装备制造业PMI 51.4%，高技术制造业PMI 52.9%。</w:t>
      </w:r>
    </w:p>
    <w:p>
      <w:pPr>
        <w:numPr>
          <w:ilvl w:val="0"/>
          <w:numId w:val="1019"/>
        </w:numPr>
        <w:pStyle w:val="Compact"/>
      </w:pPr>
      <w:r>
        <w:t xml:space="preserve">📅 9月1日具体国内数据发布时间、央行公开市场操作、海外经济日历及美联储官员日程未进入采集 JSON，统一标记为未核验。</w:t>
      </w:r>
    </w:p>
    <w:p>
      <w:pPr>
        <w:numPr>
          <w:ilvl w:val="0"/>
          <w:numId w:val="1019"/>
        </w:numPr>
        <w:pStyle w:val="Compact"/>
      </w:pPr>
      <w:r>
        <w:t xml:space="preserve">💡 盘中只对已发布的官方数据作反应；任何未经确认的</w:t>
      </w:r>
      <w:r>
        <w:t xml:space="preserve">“</w:t>
      </w:r>
      <w:r>
        <w:t xml:space="preserve">预期值</w:t>
      </w:r>
      <w:r>
        <w:t xml:space="preserve">”</w:t>
      </w:r>
      <w:r>
        <w:t xml:space="preserve">不作为交易触发条件。</w:t>
      </w:r>
    </w:p>
    <w:p>
      <w:r>
        <w:pict>
          <v:rect style="width:0;height:1.5pt" o:hralign="center" o:hrstd="t" o:hr="t"/>
        </w:pict>
      </w:r>
    </w:p>
    <w:p>
      <w:pPr>
        <w:pStyle w:val="Heading2"/>
      </w:pPr>
      <w:bookmarkStart w:id="42" w:name="全球重要事件"/>
      <w:r>
        <w:t xml:space="preserve">🌍 全球重要事件</w:t>
      </w:r>
      <w:bookmarkEnd w:id="42"/>
    </w:p>
    <w:p>
      <w:pPr>
        <w:numPr>
          <w:ilvl w:val="0"/>
          <w:numId w:val="1020"/>
        </w:numPr>
        <w:pStyle w:val="Compact"/>
      </w:pPr>
      <w:r>
        <w:t xml:space="preserve">⚠️ 中东：美伊时隔一个月再度互相打击，WTI原油上涨 1.02%。油气链相对受益，但若冲突外溢，整体风险偏好可能下降。</w:t>
      </w:r>
    </w:p>
    <w:p>
      <w:pPr>
        <w:numPr>
          <w:ilvl w:val="0"/>
          <w:numId w:val="1020"/>
        </w:numPr>
        <w:pStyle w:val="Compact"/>
      </w:pPr>
      <w:r>
        <w:t xml:space="preserve">⚠️ 俄乌：俄方称目前不具备重启谈判条件，地缘风险尚未解除；相关题材的持续性仍取决于事件进展。</w:t>
      </w:r>
    </w:p>
    <w:p>
      <w:pPr>
        <w:numPr>
          <w:ilvl w:val="0"/>
          <w:numId w:val="1020"/>
        </w:numPr>
        <w:pStyle w:val="Compact"/>
      </w:pPr>
      <w:r>
        <w:t xml:space="preserve">🌐 中俄：9月2日至4日东方经济论坛及中俄能源合作会议临近，油气装备、跨境物流可列事件观察，不提前兑现未公布成果。</w:t>
      </w:r>
    </w:p>
    <w:p>
      <w:pPr>
        <w:numPr>
          <w:ilvl w:val="0"/>
          <w:numId w:val="1020"/>
        </w:numPr>
        <w:pStyle w:val="Compact"/>
      </w:pPr>
      <w:r>
        <w:t xml:space="preserve">📉 利率：日本新发10年期国债收益率一度 2.950%，全球长端利率上行对高估值成长构成估值压力。</w:t>
      </w:r>
    </w:p>
    <w:p>
      <w:r>
        <w:pict>
          <v:rect style="width:0;height:1.5pt" o:hralign="center" o:hrstd="t" o:hr="t"/>
        </w:pict>
      </w:r>
    </w:p>
    <w:p>
      <w:pPr>
        <w:pStyle w:val="Heading2"/>
      </w:pPr>
      <w:bookmarkStart w:id="43" w:name="昨日复盘要点"/>
      <w:r>
        <w:t xml:space="preserve">📊 昨日复盘要点</w:t>
      </w:r>
      <w:bookmarkEnd w:id="43"/>
    </w:p>
    <w:p>
      <w:pPr>
        <w:numPr>
          <w:ilvl w:val="0"/>
          <w:numId w:val="1021"/>
        </w:numPr>
        <w:pStyle w:val="Compact"/>
      </w:pPr>
      <w:r>
        <w:t xml:space="preserve">🔴 指数：五个核心指数全部收涨，科创50 +1.3379%领跑；上证距离4000点整数位较近，今日更可能先经历分歧与换手。</w:t>
      </w:r>
    </w:p>
    <w:p>
      <w:pPr>
        <w:numPr>
          <w:ilvl w:val="0"/>
          <w:numId w:val="1021"/>
        </w:numPr>
        <w:pStyle w:val="Compact"/>
      </w:pPr>
      <w:r>
        <w:t xml:space="preserve">🔥 传媒是最强共振方向：板块 +4.52%、成交 627.48 亿元、主力净流入 58.67 亿元；数字媒体 +6.78%、净流入 25.54 亿元，中文在线 +20.02%、芒果超媒 +20.00%。</w:t>
      </w:r>
    </w:p>
    <w:p>
      <w:pPr>
        <w:numPr>
          <w:ilvl w:val="0"/>
          <w:numId w:val="1021"/>
        </w:numPr>
        <w:pStyle w:val="Compact"/>
      </w:pPr>
      <w:r>
        <w:t xml:space="preserve">🧠 AI硬件内部明显分化：数字芯片设计 +3.78%、净流入 31.37 亿元，瑞芯微涨停；但半导体大类成交 2576.80 亿元却净流出 15.23 亿元，通信净流出 31.16 亿元，不能把全链条视为一致强势。</w:t>
      </w:r>
    </w:p>
    <w:p>
      <w:pPr>
        <w:numPr>
          <w:ilvl w:val="0"/>
          <w:numId w:val="1021"/>
        </w:numPr>
        <w:pStyle w:val="Compact"/>
      </w:pPr>
      <w:r>
        <w:t xml:space="preserve">🏭 机械设备 +1.67%、成交 1661.46 亿元、净流入 25.84 亿元；国常会地下管网部署为今日新增催化。</w:t>
      </w:r>
    </w:p>
    <w:p>
      <w:pPr>
        <w:numPr>
          <w:ilvl w:val="0"/>
          <w:numId w:val="1021"/>
        </w:numPr>
        <w:pStyle w:val="Compact"/>
      </w:pPr>
      <w:r>
        <w:t xml:space="preserve">📉 风险方向：有色金属净流出 57.56 亿元、医药生物净流出 51.13 亿元、电力设备净流出 43.52 亿元；光伏设备下跌 1.91%且净流出 26.07 亿元。</w:t>
      </w:r>
    </w:p>
    <w:p>
      <w:pPr>
        <w:numPr>
          <w:ilvl w:val="0"/>
          <w:numId w:val="1021"/>
        </w:numPr>
        <w:pStyle w:val="Compact"/>
      </w:pPr>
      <w:r>
        <w:t xml:space="preserve">⚠️ 涨停/跌停样本源缺失；仅同花顺单源宽度数据记录涨停 89 家、跌停 13 家，不据此构造涨停梯队或连板结论。</w:t>
      </w:r>
    </w:p>
    <w:p>
      <w:pPr>
        <w:pStyle w:val="Heading3"/>
      </w:pPr>
      <w:bookmarkStart w:id="44" w:name="昨日主力资金流入-top10个股"/>
      <w:r>
        <w:t xml:space="preserve">💰 昨日主力资金流入 TOP10（个股）</w:t>
      </w:r>
      <w:bookmarkEnd w:id="44"/>
    </w:p>
    <w:p>
      <w:pPr>
        <w:numPr>
          <w:ilvl w:val="0"/>
          <w:numId w:val="1022"/>
        </w:numPr>
        <w:pStyle w:val="Compact"/>
      </w:pPr>
      <w:r>
        <w:t xml:space="preserve">浪潮信息（000977）+16.34亿，收 85.18 元，+9.99%</w:t>
      </w:r>
    </w:p>
    <w:p>
      <w:pPr>
        <w:numPr>
          <w:ilvl w:val="0"/>
          <w:numId w:val="1022"/>
        </w:numPr>
        <w:pStyle w:val="Compact"/>
      </w:pPr>
      <w:r>
        <w:t xml:space="preserve">中文在线（300364）+11.21亿，收 27.28 元，+20.02%</w:t>
      </w:r>
    </w:p>
    <w:p>
      <w:pPr>
        <w:numPr>
          <w:ilvl w:val="0"/>
          <w:numId w:val="1022"/>
        </w:numPr>
        <w:pStyle w:val="Compact"/>
      </w:pPr>
      <w:r>
        <w:t xml:space="preserve">大族激光（002008）+10.22亿，收 96.38 元，+10.00%</w:t>
      </w:r>
    </w:p>
    <w:p>
      <w:pPr>
        <w:numPr>
          <w:ilvl w:val="0"/>
          <w:numId w:val="1022"/>
        </w:numPr>
        <w:pStyle w:val="Compact"/>
      </w:pPr>
      <w:r>
        <w:t xml:space="preserve">瑞芯微（603893）+9.81亿，收 194.59 元，+10.00%</w:t>
      </w:r>
    </w:p>
    <w:p>
      <w:pPr>
        <w:numPr>
          <w:ilvl w:val="0"/>
          <w:numId w:val="1022"/>
        </w:numPr>
        <w:pStyle w:val="Compact"/>
      </w:pPr>
      <w:r>
        <w:t xml:space="preserve">紫光股份（000938）+9.79亿，收 38.95 元，+8.53%</w:t>
      </w:r>
    </w:p>
    <w:p>
      <w:pPr>
        <w:numPr>
          <w:ilvl w:val="0"/>
          <w:numId w:val="1022"/>
        </w:numPr>
        <w:pStyle w:val="Compact"/>
      </w:pPr>
      <w:r>
        <w:t xml:space="preserve">协创数据（300857）+9.77亿，收 263.70 元，+3.87%</w:t>
      </w:r>
    </w:p>
    <w:p>
      <w:pPr>
        <w:numPr>
          <w:ilvl w:val="0"/>
          <w:numId w:val="1022"/>
        </w:numPr>
        <w:pStyle w:val="Compact"/>
      </w:pPr>
      <w:r>
        <w:t xml:space="preserve">诺德股份（600110）+8.84亿，收 12.03 元，+9.96%</w:t>
      </w:r>
    </w:p>
    <w:p>
      <w:pPr>
        <w:numPr>
          <w:ilvl w:val="0"/>
          <w:numId w:val="1022"/>
        </w:numPr>
        <w:pStyle w:val="Compact"/>
      </w:pPr>
      <w:r>
        <w:t xml:space="preserve">京东方A（000725）+8.77亿，收 6.01 元，+1.52%</w:t>
      </w:r>
    </w:p>
    <w:p>
      <w:pPr>
        <w:numPr>
          <w:ilvl w:val="0"/>
          <w:numId w:val="1022"/>
        </w:numPr>
        <w:pStyle w:val="Compact"/>
      </w:pPr>
      <w:r>
        <w:t xml:space="preserve">兆易创新（603986）+7.76亿，收 406.00 元，+2.31%</w:t>
      </w:r>
    </w:p>
    <w:p>
      <w:pPr>
        <w:numPr>
          <w:ilvl w:val="0"/>
          <w:numId w:val="1022"/>
        </w:numPr>
        <w:pStyle w:val="Compact"/>
      </w:pPr>
      <w:r>
        <w:t xml:space="preserve">昆仑万维（300418）+6.84亿，收 43.99 元，+8.89%</w:t>
      </w:r>
    </w:p>
    <w:p>
      <w:pPr>
        <w:pStyle w:val="Heading3"/>
      </w:pPr>
      <w:bookmarkStart w:id="45" w:name="昨日主力资金流出-top10个股"/>
      <w:r>
        <w:t xml:space="preserve">⚠️ 昨日主力资金流出 TOP10（个股）</w:t>
      </w:r>
      <w:bookmarkEnd w:id="45"/>
    </w:p>
    <w:p>
      <w:pPr>
        <w:numPr>
          <w:ilvl w:val="0"/>
          <w:numId w:val="1023"/>
        </w:numPr>
        <w:pStyle w:val="Compact"/>
      </w:pPr>
      <w:r>
        <w:t xml:space="preserve">阳光电源（300274）-13.83亿，收 91.50 元，-6.34%</w:t>
      </w:r>
    </w:p>
    <w:p>
      <w:pPr>
        <w:numPr>
          <w:ilvl w:val="0"/>
          <w:numId w:val="1023"/>
        </w:numPr>
        <w:pStyle w:val="Compact"/>
      </w:pPr>
      <w:r>
        <w:t xml:space="preserve">比亚迪（002594）-12.62亿，收 88.20 元，-4.46%</w:t>
      </w:r>
    </w:p>
    <w:p>
      <w:pPr>
        <w:numPr>
          <w:ilvl w:val="0"/>
          <w:numId w:val="1023"/>
        </w:numPr>
        <w:pStyle w:val="Compact"/>
      </w:pPr>
      <w:r>
        <w:t xml:space="preserve">宁德时代（300750）-11.43亿，收 363.55 元，-1.34%</w:t>
      </w:r>
    </w:p>
    <w:p>
      <w:pPr>
        <w:numPr>
          <w:ilvl w:val="0"/>
          <w:numId w:val="1023"/>
        </w:numPr>
        <w:pStyle w:val="Compact"/>
      </w:pPr>
      <w:r>
        <w:t xml:space="preserve">亨通光电（600487）-11.12亿，收 67.38 元，-1.92%</w:t>
      </w:r>
    </w:p>
    <w:p>
      <w:pPr>
        <w:numPr>
          <w:ilvl w:val="0"/>
          <w:numId w:val="1023"/>
        </w:numPr>
        <w:pStyle w:val="Compact"/>
      </w:pPr>
      <w:r>
        <w:t xml:space="preserve">中际旭创（300308）-9.77亿，收 851.90 元，-0.75%</w:t>
      </w:r>
    </w:p>
    <w:p>
      <w:pPr>
        <w:numPr>
          <w:ilvl w:val="0"/>
          <w:numId w:val="1023"/>
        </w:numPr>
        <w:pStyle w:val="Compact"/>
      </w:pPr>
      <w:r>
        <w:t xml:space="preserve">长鑫科技（688825）-9.59亿，收 58.01 元，-1.01%</w:t>
      </w:r>
    </w:p>
    <w:p>
      <w:pPr>
        <w:numPr>
          <w:ilvl w:val="0"/>
          <w:numId w:val="1023"/>
        </w:numPr>
        <w:pStyle w:val="Compact"/>
      </w:pPr>
      <w:r>
        <w:t xml:space="preserve">紫金矿业（601899）-8.79亿，收 33.67 元，-2.83%</w:t>
      </w:r>
    </w:p>
    <w:p>
      <w:pPr>
        <w:numPr>
          <w:ilvl w:val="0"/>
          <w:numId w:val="1023"/>
        </w:numPr>
        <w:pStyle w:val="Compact"/>
      </w:pPr>
      <w:r>
        <w:t xml:space="preserve">中微公司（688012）-8.26亿，收 362.00 元，-1.36%</w:t>
      </w:r>
    </w:p>
    <w:p>
      <w:pPr>
        <w:numPr>
          <w:ilvl w:val="0"/>
          <w:numId w:val="1023"/>
        </w:numPr>
        <w:pStyle w:val="Compact"/>
      </w:pPr>
      <w:r>
        <w:t xml:space="preserve">恒瑞医药（600276）-7.45亿，收 46.07 元，-2.64%</w:t>
      </w:r>
    </w:p>
    <w:p>
      <w:pPr>
        <w:numPr>
          <w:ilvl w:val="0"/>
          <w:numId w:val="1023"/>
        </w:numPr>
        <w:pStyle w:val="Compact"/>
      </w:pPr>
      <w:r>
        <w:t xml:space="preserve">澜起科技（688008）-7.11亿，收 204.95 元，-3.78%</w:t>
      </w:r>
    </w:p>
    <w:p>
      <w:r>
        <w:pict>
          <v:rect style="width:0;height:1.5pt" o:hralign="center" o:hrstd="t" o:hr="t"/>
        </w:pict>
      </w:r>
    </w:p>
    <w:p>
      <w:pPr>
        <w:pStyle w:val="Heading2"/>
      </w:pPr>
      <w:bookmarkStart w:id="46" w:name="今日操作策略"/>
      <w:r>
        <w:t xml:space="preserve">🎯 今日操作策略</w:t>
      </w:r>
      <w:bookmarkEnd w:id="46"/>
    </w:p>
    <w:p>
      <w:pPr>
        <w:numPr>
          <w:ilvl w:val="0"/>
          <w:numId w:val="1024"/>
        </w:numPr>
        <w:pStyle w:val="Compact"/>
      </w:pPr>
      <w:r>
        <w:t xml:space="preserve">📈 市场预判：震荡偏强。上证若放量站稳4000点且上涨家数持续多于下跌家数，可维持进攻；若冲高回落、A50走弱且资金流入主线转负，主动降仓。</w:t>
      </w:r>
    </w:p>
    <w:p>
      <w:pPr>
        <w:numPr>
          <w:ilvl w:val="0"/>
          <w:numId w:val="1024"/>
        </w:numPr>
        <w:pStyle w:val="Compact"/>
      </w:pPr>
      <w:r>
        <w:t xml:space="preserve">💡 激进型：仓位不高于 80%，只参与传媒AI应用、数字芯片设计或地下管网中开盘后出现板块共振、龙头换手承接的方向；一致高开不追。</w:t>
      </w:r>
    </w:p>
    <w:p>
      <w:pPr>
        <w:numPr>
          <w:ilvl w:val="0"/>
          <w:numId w:val="1024"/>
        </w:numPr>
        <w:pStyle w:val="Compact"/>
      </w:pPr>
      <w:r>
        <w:t xml:space="preserve">💡 稳健型：仓位 60%-65%，等待开盘30分钟后确认板块净流入与指数承接，优先选择有成交额和多源行情校验的核心票。</w:t>
      </w:r>
    </w:p>
    <w:p>
      <w:pPr>
        <w:numPr>
          <w:ilvl w:val="0"/>
          <w:numId w:val="1024"/>
        </w:numPr>
        <w:pStyle w:val="Compact"/>
      </w:pPr>
      <w:r>
        <w:t xml:space="preserve">💡 保守型：仓位不高于 50%，保留银行防御仓，等待上证站稳4000点或回踩后出现明确止跌信号。</w:t>
      </w:r>
    </w:p>
    <w:p>
      <w:pPr>
        <w:numPr>
          <w:ilvl w:val="0"/>
          <w:numId w:val="1024"/>
        </w:numPr>
        <w:pStyle w:val="Compact"/>
      </w:pPr>
      <w:r>
        <w:t xml:space="preserve">🚫 回避：光伏、医药、有色以及通信中的资金流出核心，在资金未回流前不做左侧抄底；高位20%涨幅标的若无换手承接，不追涨。</w:t>
      </w:r>
    </w:p>
    <w:p>
      <w:r>
        <w:pict>
          <v:rect style="width:0;height:1.5pt" o:hralign="center" o:hrstd="t" o:hr="t"/>
        </w:pict>
      </w:r>
    </w:p>
    <w:p>
      <w:pPr>
        <w:pStyle w:val="Heading2"/>
      </w:pPr>
      <w:bookmarkStart w:id="47" w:name="今日重点投资方向"/>
      <w:r>
        <w:t xml:space="preserve">🎯 今日重点投资方向</w:t>
      </w:r>
      <w:bookmarkEnd w:id="47"/>
    </w:p>
    <w:p>
      <w:pPr>
        <w:pStyle w:val="Heading3"/>
      </w:pPr>
      <w:bookmarkStart w:id="48" w:name="方向一ai应用数字媒体影视内容优先级高"/>
      <w:r>
        <w:t xml:space="preserve">方向一：AI应用—数字媒体/影视内容（优先级：高）</w:t>
      </w:r>
      <w:bookmarkEnd w:id="48"/>
    </w:p>
    <w:p>
      <w:pPr>
        <w:numPr>
          <w:ilvl w:val="0"/>
          <w:numId w:val="1025"/>
        </w:numPr>
        <w:pStyle w:val="Compact"/>
      </w:pPr>
      <w:r>
        <w:t xml:space="preserve">📌 证据链：传媒 +4.52%、净流入 58.67 亿元、成交 627.48 亿元；数字媒体 +6.78%、净流入 25.54 亿元；中文在线 +20.02%且净流入 11.21 亿元，芒果超媒 +20.00%；风语筑 +6.55%并与传媒主线共振。</w:t>
      </w:r>
    </w:p>
    <w:p>
      <w:pPr>
        <w:numPr>
          <w:ilvl w:val="0"/>
          <w:numId w:val="1025"/>
        </w:numPr>
        <w:pStyle w:val="Compact"/>
      </w:pPr>
      <w:r>
        <w:t xml:space="preserve">🔥 核心标的：中文在线（20%涨幅与资金双强）、芒果超媒（视频媒体核心）、昆仑万维（净流入 6.84 亿元）、风语筑（自选股且昨日 +6.55%）。</w:t>
      </w:r>
    </w:p>
    <w:p>
      <w:pPr>
        <w:numPr>
          <w:ilvl w:val="0"/>
          <w:numId w:val="1025"/>
        </w:numPr>
        <w:pStyle w:val="Compact"/>
      </w:pPr>
      <w:r>
        <w:t xml:space="preserve">💡 参与策略：激进者只做核心股分歧回封或回踩承接；稳健者等待传媒板块净流入延续并观察风语筑能否站稳昨日收盘；保守者不追首日大涨票，等待回踩确认。</w:t>
      </w:r>
    </w:p>
    <w:p>
      <w:pPr>
        <w:numPr>
          <w:ilvl w:val="0"/>
          <w:numId w:val="1025"/>
        </w:numPr>
        <w:pStyle w:val="Compact"/>
      </w:pPr>
      <w:r>
        <w:t xml:space="preserve">✅ 触发条件：板块继续位居资金流入前列，核心股不出现批量冲高回落，中文在线/芒果超媒至少一只保持强承接。</w:t>
      </w:r>
    </w:p>
    <w:p>
      <w:pPr>
        <w:numPr>
          <w:ilvl w:val="0"/>
          <w:numId w:val="1025"/>
        </w:numPr>
        <w:pStyle w:val="Compact"/>
      </w:pPr>
      <w:r>
        <w:t xml:space="preserve">🚫 失效条件：传媒主力资金转净流出、核心股跌破开盘价后不能收复、板块涨幅快速收窄且无低位扩散。</w:t>
      </w:r>
    </w:p>
    <w:p>
      <w:pPr>
        <w:numPr>
          <w:ilvl w:val="0"/>
          <w:numId w:val="1025"/>
        </w:numPr>
        <w:pStyle w:val="Compact"/>
      </w:pPr>
      <w:r>
        <w:t xml:space="preserve">⚠️ 风险：昨日涨幅集中、短线获利盘较厚；涨停样本缺失，无法验证连板梯队。</w:t>
      </w:r>
    </w:p>
    <w:p>
      <w:pPr>
        <w:pStyle w:val="Heading3"/>
      </w:pPr>
      <w:bookmarkStart w:id="49" w:name="方向二数字芯片设计ai算力核心硬件优先级高"/>
      <w:r>
        <w:t xml:space="preserve">方向二：数字芯片设计—AI算力核心硬件（优先级：高）</w:t>
      </w:r>
      <w:bookmarkEnd w:id="49"/>
    </w:p>
    <w:p>
      <w:pPr>
        <w:numPr>
          <w:ilvl w:val="0"/>
          <w:numId w:val="1026"/>
        </w:numPr>
        <w:pStyle w:val="Compact"/>
      </w:pPr>
      <w:r>
        <w:t xml:space="preserve">📌 证据链：数字芯片设计 +3.78%、净流入 31.37 亿元、成交 1189.42 亿元；瑞芯微涨停并净流入 9.81 亿元；浪潮信息 +9.99%且净流入 16.34 亿元；紫光股份 +8.53%且净流入 9.79 亿元。</w:t>
      </w:r>
    </w:p>
    <w:p>
      <w:pPr>
        <w:numPr>
          <w:ilvl w:val="0"/>
          <w:numId w:val="1026"/>
        </w:numPr>
        <w:pStyle w:val="Compact"/>
      </w:pPr>
      <w:r>
        <w:t xml:space="preserve">🔥 核心标的：浪潮信息（资金流入第一）、瑞芯微（芯片设计龙头）、紫光股份（百亿成交与资金共振）、兆易创新（成交 126.71 亿元且净流入 7.76 亿元）。</w:t>
      </w:r>
    </w:p>
    <w:p>
      <w:pPr>
        <w:numPr>
          <w:ilvl w:val="0"/>
          <w:numId w:val="1026"/>
        </w:numPr>
        <w:pStyle w:val="Compact"/>
      </w:pPr>
      <w:r>
        <w:t xml:space="preserve">💡 参与策略：激进者选择换手后的强者；稳健者等待半导体大类净流出收窄后再布局；保守者只跟踪，不在指数冲关时追高。</w:t>
      </w:r>
    </w:p>
    <w:p>
      <w:pPr>
        <w:numPr>
          <w:ilvl w:val="0"/>
          <w:numId w:val="1026"/>
        </w:numPr>
        <w:pStyle w:val="Compact"/>
      </w:pPr>
      <w:r>
        <w:t xml:space="preserve">✅ 触发条件：数字芯片设计资金继续净流入，半导体大类由净流出转强，浪潮信息/瑞芯微不出现开板后失速。</w:t>
      </w:r>
    </w:p>
    <w:p>
      <w:pPr>
        <w:numPr>
          <w:ilvl w:val="0"/>
          <w:numId w:val="1026"/>
        </w:numPr>
        <w:pStyle w:val="Compact"/>
      </w:pPr>
      <w:r>
        <w:t xml:space="preserve">🚫 失效条件：通信和半导体资金流出扩大，核心成交额个股跌破开盘价并放量，科创50转弱。</w:t>
      </w:r>
    </w:p>
    <w:p>
      <w:pPr>
        <w:numPr>
          <w:ilvl w:val="0"/>
          <w:numId w:val="1026"/>
        </w:numPr>
        <w:pStyle w:val="Compact"/>
      </w:pPr>
      <w:r>
        <w:t xml:space="preserve">⚠️ 风险：硬件链并非全面共振；中际旭创净流出 9.77 亿元、澜起科技净流出 7.11 亿元，内部高低切换剧烈。</w:t>
      </w:r>
    </w:p>
    <w:p>
      <w:pPr>
        <w:pStyle w:val="Heading3"/>
      </w:pPr>
      <w:bookmarkStart w:id="50" w:name="方向三城市地下管网供排水工程设备优先级中"/>
      <w:r>
        <w:t xml:space="preserve">方向三：城市地下管网—供排水/工程设备（优先级：中）</w:t>
      </w:r>
      <w:bookmarkEnd w:id="50"/>
    </w:p>
    <w:p>
      <w:pPr>
        <w:numPr>
          <w:ilvl w:val="0"/>
          <w:numId w:val="1027"/>
        </w:numPr>
        <w:pStyle w:val="Compact"/>
      </w:pPr>
      <w:r>
        <w:t xml:space="preserve">📌 证据链：国常会明确加快地下管网建设；机械设备昨日 +1.67%、成交 1661.46 亿元、净流入 25.84 亿元；冠龙节能昨日 +20.02%，形成事件前的活跃样本。</w:t>
      </w:r>
    </w:p>
    <w:p>
      <w:pPr>
        <w:numPr>
          <w:ilvl w:val="0"/>
          <w:numId w:val="1027"/>
        </w:numPr>
        <w:pStyle w:val="Compact"/>
      </w:pPr>
      <w:r>
        <w:t xml:space="preserve">🔥 核心标的：冠龙节能（供排水设备、昨日高辨识度）、海天精工（机械设备领涨样本）；其他具体项目受益股因公告源失败暂不扩展。</w:t>
      </w:r>
    </w:p>
    <w:p>
      <w:pPr>
        <w:numPr>
          <w:ilvl w:val="0"/>
          <w:numId w:val="1027"/>
        </w:numPr>
        <w:pStyle w:val="Compact"/>
      </w:pPr>
      <w:r>
        <w:t xml:space="preserve">💡 参与策略：激进者观察冠龙节能是否换手承接；稳健者等待板块出现至少两只以上同步强势且资金净流入；保守者等订单公告。</w:t>
      </w:r>
    </w:p>
    <w:p>
      <w:pPr>
        <w:numPr>
          <w:ilvl w:val="0"/>
          <w:numId w:val="1027"/>
        </w:numPr>
        <w:pStyle w:val="Compact"/>
      </w:pPr>
      <w:r>
        <w:t xml:space="preserve">✅ 触发条件：地下管网细分板块形成资金净流入、冠龙节能不出现大幅低开、机械设备维持正向资金。</w:t>
      </w:r>
    </w:p>
    <w:p>
      <w:pPr>
        <w:numPr>
          <w:ilvl w:val="0"/>
          <w:numId w:val="1027"/>
        </w:numPr>
        <w:pStyle w:val="Compact"/>
      </w:pPr>
      <w:r>
        <w:t xml:space="preserve">🚫 失效条件：仅单一个股脉冲、板块无成交扩散，或高开后跌破开盘价且不能收复。</w:t>
      </w:r>
    </w:p>
    <w:p>
      <w:pPr>
        <w:numPr>
          <w:ilvl w:val="0"/>
          <w:numId w:val="1027"/>
        </w:numPr>
        <w:pStyle w:val="Compact"/>
      </w:pPr>
      <w:r>
        <w:t xml:space="preserve">⚠️ 风险：政策到订单存在时滞；公告数据未核验，禁止提前假设公司已获项目。</w:t>
      </w:r>
    </w:p>
    <w:p>
      <w:r>
        <w:pict>
          <v:rect style="width:0;height:1.5pt" o:hralign="center" o:hrstd="t" o:hr="t"/>
        </w:pict>
      </w:r>
    </w:p>
    <w:p>
      <w:pPr>
        <w:pStyle w:val="Heading2"/>
      </w:pPr>
      <w:bookmarkStart w:id="51" w:name="华泰自选股观察"/>
      <w:r>
        <w:t xml:space="preserve">🧾 华泰自选股观察</w:t>
      </w:r>
      <w:bookmarkEnd w:id="51"/>
    </w:p>
    <w:p>
      <w:pPr>
        <w:pStyle w:val="FirstParagraph"/>
      </w:pPr>
      <w:r>
        <w:t xml:space="preserve">华泰自选股共3只并已取得全部行情。风语筑与传媒主线直接共振，工商银行偏防御，弘元绿能处于光伏弱势环境；除风语筑外，以跟踪为主、暂不作为主攻方向。华泰行情作为补充源使用，其中三只均未进入本地核心个股三源校验样本，结论置信度低于已交叉验证标的。</w:t>
      </w:r>
    </w:p>
    <w:p>
      <w:pPr>
        <w:numPr>
          <w:ilvl w:val="0"/>
          <w:numId w:val="1028"/>
        </w:numPr>
        <w:pStyle w:val="Compact"/>
      </w:pPr>
      <w:r>
        <w:t xml:space="preserve">🔴 弘元绿能（603185）：最新 14.98 元，昨日 -7.53%；所属光伏主材/硅片方向。光伏设备昨日 -1.91%、净流出 26.07 亿元，光伏主材 -2.99%，与当日主线不共振。判断：偏弱，继续观察，不抢反弹；资金回流与板块止跌前暂不作为主攻方向。</w:t>
      </w:r>
    </w:p>
    <w:p>
      <w:pPr>
        <w:numPr>
          <w:ilvl w:val="0"/>
          <w:numId w:val="1028"/>
        </w:numPr>
        <w:pStyle w:val="Compact"/>
      </w:pPr>
      <w:r>
        <w:t xml:space="preserve">📈 风语筑（603466）：最新 11.88 元，昨日 +6.55%；所属数字创意/展示、传媒应用方向。传媒 +4.52%且净流入 58.67 亿元，形成明确共振。判断：偏强但不追高，可等待回踩承接或放量确认；若跌回昨日收盘下方且传媒转弱，降低预期。</w:t>
      </w:r>
    </w:p>
    <w:p>
      <w:pPr>
        <w:numPr>
          <w:ilvl w:val="0"/>
          <w:numId w:val="1028"/>
        </w:numPr>
        <w:pStyle w:val="Compact"/>
      </w:pPr>
      <w:r>
        <w:t xml:space="preserve">📈 工商银行（601398）：最新 8.07 元，昨日 +2.67%；所属国有大行/高股息防御方向。与AI、传媒主线无直接共振，但可平衡组合波动。判断：稳健持有、以跟踪为主，暂不作为主攻方向；若高开加速不追。</w:t>
      </w:r>
    </w:p>
    <w:p>
      <w:r>
        <w:pict>
          <v:rect style="width:0;height:1.5pt" o:hralign="center" o:hrstd="t" o:hr="t"/>
        </w:pict>
      </w:r>
    </w:p>
    <w:p>
      <w:pPr>
        <w:pStyle w:val="Heading2"/>
      </w:pPr>
      <w:bookmarkStart w:id="52" w:name="用户实盘持仓策略"/>
      <w:r>
        <w:t xml:space="preserve">💼 用户实盘持仓策略</w:t>
      </w:r>
      <w:bookmarkEnd w:id="52"/>
    </w:p>
    <w:p>
      <w:pPr>
        <w:pStyle w:val="Heading3"/>
      </w:pPr>
      <w:bookmarkStart w:id="53" w:name="弘元绿能603185-300股成本-26.6669-元"/>
      <w:r>
        <w:t xml:space="preserve">🔴 弘元绿能（603185）— 300股，成本 26.6669 元</w:t>
      </w:r>
      <w:bookmarkEnd w:id="53"/>
    </w:p>
    <w:p>
      <w:pPr>
        <w:numPr>
          <w:ilvl w:val="0"/>
          <w:numId w:val="1029"/>
        </w:numPr>
        <w:pStyle w:val="Compact"/>
      </w:pPr>
      <w:r>
        <w:t xml:space="preserve">📉 最新可得价 14.98 元，按该价测算浮亏 43.83%，浮亏 3506.07 元；行情来自华泰单源，未纳入本地三源核心样本。</w:t>
      </w:r>
    </w:p>
    <w:p>
      <w:pPr>
        <w:numPr>
          <w:ilvl w:val="0"/>
          <w:numId w:val="1029"/>
        </w:numPr>
        <w:pStyle w:val="Compact"/>
      </w:pPr>
      <w:r>
        <w:t xml:space="preserve">📊 环境：昨日 -7.53%，光伏设备 -1.91%且净流出 26.07 亿元，光伏主材 -2.99%；趋势与板块均弱。14.58 元是当日跌停参考价，不等同于技术支撑；因缺少日K，其他支撑阻力未核验。</w:t>
      </w:r>
    </w:p>
    <w:p>
      <w:pPr>
        <w:numPr>
          <w:ilvl w:val="0"/>
          <w:numId w:val="1029"/>
        </w:numPr>
        <w:pStyle w:val="Compact"/>
      </w:pPr>
      <w:r>
        <w:t xml:space="preserve">💡 今日动作：减仓观察，禁止因深套无条件补仓。若早盘反弹但量价不能改善，可分批降低风险敞口；不以回到成本价作为持有理由。</w:t>
      </w:r>
    </w:p>
    <w:p>
      <w:pPr>
        <w:numPr>
          <w:ilvl w:val="0"/>
          <w:numId w:val="1029"/>
        </w:numPr>
        <w:pStyle w:val="Compact"/>
      </w:pPr>
      <w:r>
        <w:t xml:space="preserve">🚫 减仓/离场触发：跌破 14.58 元附近风险区并持续无承接；或反弹不能收复 16.20 元昨日收盘参考、同时光伏继续净流出。</w:t>
      </w:r>
    </w:p>
    <w:p>
      <w:pPr>
        <w:numPr>
          <w:ilvl w:val="0"/>
          <w:numId w:val="1029"/>
        </w:numPr>
        <w:pStyle w:val="Compact"/>
      </w:pPr>
      <w:r>
        <w:t xml:space="preserve">✅ 条件加仓：仅在光伏设备由净流出转净流入、个股重新站稳 16.20 元且放量、并至少维持一个交易时段后再评估；当前不满足。</w:t>
      </w:r>
    </w:p>
    <w:p>
      <w:pPr>
        <w:numPr>
          <w:ilvl w:val="0"/>
          <w:numId w:val="1029"/>
        </w:numPr>
        <w:pStyle w:val="Compact"/>
      </w:pPr>
      <w:r>
        <w:t xml:space="preserve">⚠️ 失效与风险：若价格数据出现多源冲突，以交易所实时行情为准；行业供需、硅片价格和公司公告未核验，策略只适用于盘面风控。</w:t>
      </w:r>
    </w:p>
    <w:p>
      <w:pPr>
        <w:pStyle w:val="Heading3"/>
      </w:pPr>
      <w:bookmarkStart w:id="54" w:name="风语筑603466-700股成本-13.2159-元"/>
      <w:r>
        <w:t xml:space="preserve">🔥 风语筑（603466）— 700股，成本 13.2159 元</w:t>
      </w:r>
      <w:bookmarkEnd w:id="54"/>
    </w:p>
    <w:p>
      <w:pPr>
        <w:numPr>
          <w:ilvl w:val="0"/>
          <w:numId w:val="1030"/>
        </w:numPr>
        <w:pStyle w:val="Compact"/>
      </w:pPr>
      <w:r>
        <w:t xml:space="preserve">📉 最新可得价 11.88 元，按该价测算浮亏 10.11%，浮亏 935.13 元；昨日 +6.55%，与传媒主线共振。</w:t>
      </w:r>
    </w:p>
    <w:p>
      <w:pPr>
        <w:numPr>
          <w:ilvl w:val="0"/>
          <w:numId w:val="1030"/>
        </w:numPr>
        <w:pStyle w:val="Compact"/>
      </w:pPr>
      <w:r>
        <w:t xml:space="preserve">📊 环境：传媒净流入 58.67 亿元，数字媒体净流入 25.54 亿元；11.15 元为昨日收盘参考，12.27 元为当日涨停参考，均不替代日K支撑阻力。</w:t>
      </w:r>
    </w:p>
    <w:p>
      <w:pPr>
        <w:numPr>
          <w:ilvl w:val="0"/>
          <w:numId w:val="1030"/>
        </w:numPr>
        <w:pStyle w:val="Compact"/>
      </w:pPr>
      <w:r>
        <w:t xml:space="preserve">💡 今日动作：持有观察，冲高不追；若板块延续而个股放量站稳，可继续持有，若冲高回落且明显弱于传媒板块则减仓。</w:t>
      </w:r>
    </w:p>
    <w:p>
      <w:pPr>
        <w:numPr>
          <w:ilvl w:val="0"/>
          <w:numId w:val="1030"/>
        </w:numPr>
        <w:pStyle w:val="Compact"/>
      </w:pPr>
      <w:r>
        <w:t xml:space="preserve">🚫 减仓/离场触发：跌破 11.15 元并持续不能收复，或传媒由强转弱、核心股批量回落；若冲击 12.27 元附近失败并出现放量长上影，可先降一部分仓位。</w:t>
      </w:r>
    </w:p>
    <w:p>
      <w:pPr>
        <w:numPr>
          <w:ilvl w:val="0"/>
          <w:numId w:val="1030"/>
        </w:numPr>
        <w:pStyle w:val="Compact"/>
      </w:pPr>
      <w:r>
        <w:t xml:space="preserve">✅ 条件加仓：传媒资金继续净流入，个股换手后站稳 12.27 元并有板块扩散时，才可小仓条件加仓；不得仅因仍低于成本而补仓。</w:t>
      </w:r>
    </w:p>
    <w:p>
      <w:pPr>
        <w:numPr>
          <w:ilvl w:val="0"/>
          <w:numId w:val="1030"/>
        </w:numPr>
        <w:pStyle w:val="Compact"/>
      </w:pPr>
      <w:r>
        <w:t xml:space="preserve">⚠️ 失效与风险：传媒昨日涨幅集中，获利盘兑现风险高；公告源失败，需核对公司公告后再下单。</w:t>
      </w:r>
    </w:p>
    <w:p>
      <w:pPr>
        <w:pStyle w:val="Heading3"/>
      </w:pPr>
      <w:bookmarkStart w:id="55" w:name="工商银行601398-1900股成本-7.0601-元"/>
      <w:r>
        <w:t xml:space="preserve">🛡️ 工商银行（601398）— 1900股，成本 7.0601 元</w:t>
      </w:r>
      <w:bookmarkEnd w:id="55"/>
    </w:p>
    <w:p>
      <w:pPr>
        <w:numPr>
          <w:ilvl w:val="0"/>
          <w:numId w:val="1031"/>
        </w:numPr>
        <w:pStyle w:val="Compact"/>
      </w:pPr>
      <w:r>
        <w:t xml:space="preserve">📈 最新可得价 8.07 元，按该价测算浮盈 14.30%，浮盈 1918.81 元；昨日 +2.67%，组合中防御属性最强。</w:t>
      </w:r>
    </w:p>
    <w:p>
      <w:pPr>
        <w:numPr>
          <w:ilvl w:val="0"/>
          <w:numId w:val="1031"/>
        </w:numPr>
        <w:pStyle w:val="Compact"/>
      </w:pPr>
      <w:r>
        <w:t xml:space="preserve">📊 环境：与成长主线不直接共振，但在外盘波动与指数冲关时有稳定器作用。7.86 元为昨日收盘参考，8.65 元为当日涨停参考；缺少日K与银行板块资金数据，技术位未完整核验。</w:t>
      </w:r>
    </w:p>
    <w:p>
      <w:pPr>
        <w:numPr>
          <w:ilvl w:val="0"/>
          <w:numId w:val="1031"/>
        </w:numPr>
        <w:pStyle w:val="Compact"/>
      </w:pPr>
      <w:r>
        <w:t xml:space="preserve">💡 今日动作：稳健持有，不追高加仓；可用移动止盈保护已有利润。</w:t>
      </w:r>
    </w:p>
    <w:p>
      <w:pPr>
        <w:numPr>
          <w:ilvl w:val="0"/>
          <w:numId w:val="1031"/>
        </w:numPr>
        <w:pStyle w:val="Compact"/>
      </w:pPr>
      <w:r>
        <w:t xml:space="preserve">🚫 减仓/离场触发：跌破 7.86 元并持续走弱，且银行板块同步转弱；或出现放量冲高回落、无法恢复时分批止盈。</w:t>
      </w:r>
    </w:p>
    <w:p>
      <w:pPr>
        <w:numPr>
          <w:ilvl w:val="0"/>
          <w:numId w:val="1031"/>
        </w:numPr>
        <w:pStyle w:val="Compact"/>
      </w:pPr>
      <w:r>
        <w:t xml:space="preserve">✅ 条件加仓：指数走弱但银行板块相对强、个股回踩 7.86 元附近企稳并重新放量上行时，才可小仓评估。</w:t>
      </w:r>
    </w:p>
    <w:p>
      <w:pPr>
        <w:numPr>
          <w:ilvl w:val="0"/>
          <w:numId w:val="1031"/>
        </w:numPr>
        <w:pStyle w:val="Compact"/>
      </w:pPr>
      <w:r>
        <w:t xml:space="preserve">⚠️ 失效与风险：利率、息差和分红预期变化可能影响估值；相关公告与银行板块资金未核验。</w:t>
      </w:r>
    </w:p>
    <w:p>
      <w:pPr>
        <w:pStyle w:val="Heading3"/>
      </w:pPr>
      <w:bookmarkStart w:id="56" w:name="农业银行601288-5300股成本-6.4244-元"/>
      <w:r>
        <w:t xml:space="preserve">⚠️ 农业银行（601288）— 5300股，成本 6.4244 元</w:t>
      </w:r>
      <w:bookmarkEnd w:id="56"/>
    </w:p>
    <w:p>
      <w:pPr>
        <w:numPr>
          <w:ilvl w:val="0"/>
          <w:numId w:val="1032"/>
        </w:numPr>
        <w:pStyle w:val="Compact"/>
      </w:pPr>
      <w:r>
        <w:t xml:space="preserve">📊 采集 JSON 未提供农业银行最新价，因此当前盈亏幅度、精确支撑阻力均未核验，禁止用虚构价格计算。</w:t>
      </w:r>
    </w:p>
    <w:p>
      <w:pPr>
        <w:numPr>
          <w:ilvl w:val="0"/>
          <w:numId w:val="1032"/>
        </w:numPr>
        <w:pStyle w:val="Compact"/>
      </w:pPr>
      <w:r>
        <w:t xml:space="preserve">💡 今日动作：持有观察，以防御仓管理；在确认实时价格和银行板块强弱前不加仓。</w:t>
      </w:r>
    </w:p>
    <w:p>
      <w:pPr>
        <w:numPr>
          <w:ilvl w:val="0"/>
          <w:numId w:val="1032"/>
        </w:numPr>
        <w:pStyle w:val="Compact"/>
      </w:pPr>
      <w:r>
        <w:t xml:space="preserve">🚫 减仓/离场触发：实时价跌破最近一个已确认交易日低点且银行板块同步走弱，或放量跌破中期均线；具体数值需盘前另行核验。</w:t>
      </w:r>
    </w:p>
    <w:p>
      <w:pPr>
        <w:numPr>
          <w:ilvl w:val="0"/>
          <w:numId w:val="1032"/>
        </w:numPr>
        <w:pStyle w:val="Compact"/>
      </w:pPr>
      <w:r>
        <w:t xml:space="preserve">✅ 条件加仓：银行板块资金回流、农业银行回踩关键均线企稳并重新放量上行，且组合银行仓位未过度集中时，才可小仓加仓。</w:t>
      </w:r>
    </w:p>
    <w:p>
      <w:pPr>
        <w:numPr>
          <w:ilvl w:val="0"/>
          <w:numId w:val="1032"/>
        </w:numPr>
        <w:pStyle w:val="Compact"/>
      </w:pPr>
      <w:r>
        <w:t xml:space="preserve">⚠️ 失效与风险：行情、公告、量价均缺失；工商银行与农业银行同属国有大行，需控制行业集中度，不能把防御属性等同于无风险。</w:t>
      </w:r>
    </w:p>
    <w:p>
      <w:pPr>
        <w:pStyle w:val="Heading3"/>
      </w:pPr>
      <w:bookmarkStart w:id="57" w:name="持仓优先级"/>
      <w:r>
        <w:t xml:space="preserve">💡 持仓优先级</w:t>
      </w:r>
      <w:bookmarkEnd w:id="57"/>
    </w:p>
    <w:p>
      <w:pPr>
        <w:numPr>
          <w:ilvl w:val="0"/>
          <w:numId w:val="1033"/>
        </w:numPr>
        <w:pStyle w:val="Compact"/>
      </w:pPr>
      <w:r>
        <w:t xml:space="preserve">最该减仓观察：弘元绿能，因个股、光伏板块和资金方向三重偏弱。</w:t>
      </w:r>
    </w:p>
    <w:p>
      <w:pPr>
        <w:numPr>
          <w:ilvl w:val="0"/>
          <w:numId w:val="1033"/>
        </w:numPr>
        <w:pStyle w:val="Compact"/>
      </w:pPr>
      <w:r>
        <w:t xml:space="preserve">最稳健持有：工商银行，已有浮盈且具防御属性，但应设置移动止盈。</w:t>
      </w:r>
    </w:p>
    <w:p>
      <w:pPr>
        <w:numPr>
          <w:ilvl w:val="0"/>
          <w:numId w:val="1033"/>
        </w:numPr>
        <w:pStyle w:val="Compact"/>
      </w:pPr>
      <w:r>
        <w:t xml:space="preserve">满足条件才可加仓：风语筑；前提是传媒资金延续并站稳 12.27 元。农业银行因最新价缺失，不满足加仓信息条件。</w:t>
      </w:r>
    </w:p>
    <w:p>
      <w:r>
        <w:pict>
          <v:rect style="width:0;height:1.5pt" o:hralign="center" o:hrstd="t" o:hr="t"/>
        </w:pict>
      </w:r>
    </w:p>
    <w:p>
      <w:pPr>
        <w:pStyle w:val="Heading2"/>
      </w:pPr>
      <w:bookmarkStart w:id="58" w:name="盘前风险清单"/>
      <w:r>
        <w:t xml:space="preserve">⚠️ 盘前风险清单</w:t>
      </w:r>
      <w:bookmarkEnd w:id="58"/>
    </w:p>
    <w:p>
      <w:pPr>
        <w:numPr>
          <w:ilvl w:val="0"/>
          <w:numId w:val="1034"/>
        </w:numPr>
        <w:pStyle w:val="Compact"/>
      </w:pPr>
      <w:r>
        <w:t xml:space="preserve">上证冲击4000点失败并快速回落，形成指数与情绪共振转弱。</w:t>
      </w:r>
    </w:p>
    <w:p>
      <w:pPr>
        <w:numPr>
          <w:ilvl w:val="0"/>
          <w:numId w:val="1034"/>
        </w:numPr>
        <w:pStyle w:val="Compact"/>
      </w:pPr>
      <w:r>
        <w:t xml:space="preserve">A50期指跌幅扩大、人民币转为明显贬值、油价因冲突继续急升。</w:t>
      </w:r>
    </w:p>
    <w:p>
      <w:pPr>
        <w:numPr>
          <w:ilvl w:val="0"/>
          <w:numId w:val="1034"/>
        </w:numPr>
        <w:pStyle w:val="Compact"/>
      </w:pPr>
      <w:r>
        <w:t xml:space="preserve">传媒和芯片核心股一致高开后资金兑现，板块净流入转负。</w:t>
      </w:r>
    </w:p>
    <w:p>
      <w:pPr>
        <w:numPr>
          <w:ilvl w:val="0"/>
          <w:numId w:val="1034"/>
        </w:numPr>
        <w:pStyle w:val="Compact"/>
      </w:pPr>
      <w:r>
        <w:t xml:space="preserve">有色、医药、电力设备及光伏昨日大额流出延续，拖累宽度。</w:t>
      </w:r>
    </w:p>
    <w:p>
      <w:pPr>
        <w:numPr>
          <w:ilvl w:val="0"/>
          <w:numId w:val="1034"/>
        </w:numPr>
        <w:pStyle w:val="Compact"/>
      </w:pPr>
      <w:r>
        <w:t xml:space="preserve">今日公告、完整经济日历和涨跌停样本未核验，下单前必须二次检查。</w:t>
      </w:r>
    </w:p>
    <w:p>
      <w:r>
        <w:pict>
          <v:rect style="width:0;height:1.5pt" o:hralign="center" o:hrstd="t" o:hr="t"/>
        </w:pict>
      </w:r>
    </w:p>
    <w:p>
      <w:pPr>
        <w:pStyle w:val="BlockText"/>
      </w:pPr>
      <w:r>
        <w:t xml:space="preserve">📊 生成时间：2026-09-01 08:32（北京时间，Asia/Shanghai）</w:t>
      </w:r>
      <w:r>
        <w:t xml:space="preserve"> </w:t>
      </w:r>
      <w:r>
        <w:t xml:space="preserve">🔮 by：先知 v1.0.3 — 周先生出品</w:t>
      </w:r>
      <w:r>
        <w:t xml:space="preserve"> </w:t>
      </w:r>
      <w:r>
        <w:t xml:space="preserve">🔵 数据采集模型：local-python</w:t>
      </w:r>
      <w:r>
        <w:t xml:space="preserve"> </w:t>
      </w:r>
      <w:r>
        <w:t xml:space="preserve">🔴 分析+写稿模型：hermes</w:t>
      </w:r>
      <w:r>
        <w:t xml:space="preserve"> </w:t>
      </w:r>
      <w:r>
        <w:t xml:space="preserve">📄 文档生成：pandoc (markdown → docx)</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991"/>
  </w:num>
  <w:num w:numId="1025">
    <w:abstractNumId w:val="991"/>
  </w:num>
  <w:num w:numId="1026">
    <w:abstractNumId w:val="991"/>
  </w:num>
  <w:num w:numId="1027">
    <w:abstractNumId w:val="991"/>
  </w:num>
  <w:num w:numId="1028">
    <w:abstractNumId w:val="991"/>
  </w:num>
  <w:num w:numId="1029">
    <w:abstractNumId w:val="991"/>
  </w:num>
  <w:num w:numId="1030">
    <w:abstractNumId w:val="991"/>
  </w:num>
  <w:num w:numId="1031">
    <w:abstractNumId w:val="991"/>
  </w:num>
  <w:num w:numId="1032">
    <w:abstractNumId w:val="991"/>
  </w:num>
  <w:num w:numId="1033">
    <w:abstractNumId w:val="991"/>
  </w:num>
  <w:num w:numId="1034">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spelling="clean" w:grammar="clean"/>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style w:type="paragraph" w:default="1" w:styleId="Normal">
    <w:name w:val="Normal"/>
    <w:qFormat/>
  </w:style>
  <w:style w:type="paragraph" w:styleId="BodyText">
    <w:name w:val="Body Text"/>
    <w:basedOn w:val="Normal"/>
    <w:link w:val="BodyTextChar"/>
    <w:pPr>
      <w:spacing w:before="180" w:after="180"/>
    </w:pPr>
    <w:qFormat/>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keepNext/>
      <w:keepLines/>
      <w:spacing w:before="240" w:after="240"/>
      <w:jc w:val="center"/>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next w:val="Bibliography"/>
    <w:qFormat/>
    <w:pPr/>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4"/>
      <w:szCs w:val="24"/>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i/>
      <w:bCs/>
      <w:color w:val="4F81BD" w:themeColor="accent1"/>
      <w:sz w:val="24"/>
      <w:szCs w:val="24"/>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sz w:val="24"/>
      <w:szCs w:val="24"/>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sz w:val="24"/>
      <w:szCs w:val="24"/>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sz w:val="24"/>
      <w:szCs w:val="24"/>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sz w:val="24"/>
      <w:szCs w:val="24"/>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sz w:val="24"/>
      <w:szCs w:val="24"/>
    </w:rPr>
  </w:style>
  <w:style w:type="paragraph" w:styleId="BlockText">
    <w:name w:val="Block Text"/>
    <w:basedOn w:val="BodyText"/>
    <w:next w:val="BodyText"/>
    <w:uiPriority w:val="9"/>
    <w:unhideWhenUsed/>
    <w:qFormat/>
    <w:pPr>
      <w:spacing w:before="100" w:after="100"/>
      <w:ind w:firstLine="0" w:left="480" w:right="480"/>
    </w:pPr>
  </w:style>
  <w:style w:type="paragraph" w:styleId="FootnoteText">
    <w:name w:val="Footnote Text"/>
    <w:basedOn w:val="Normal"/>
    <w:next w:val="FootnoteText"/>
    <w:uiPriority w:val="9"/>
    <w:unhideWhenUsed/>
    <w:qFormat/>
  </w:style>
  <w:style w:type="character" w:default="1" w:styleId="DefaultParagraphFont">
    <w:name w:val="Default Paragraph Font"/>
    <w:semiHidden/>
    <w:unhideWhenUsed/>
  </w:style>
  <w:style w:type="table" w:default="1" w:styleId="Table">
    <w:name w:val="Table"/>
    <w:basedOn w:val="TableNormal"/>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BodyTextChar"/>
    <w:pPr>
      <w:spacing w:before="0"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BodyTextChar">
    <w:name w:val="Body Text Char"/>
    <w:basedOn w:val="DefaultParagraphFont"/>
    <w:link w:val="BodyText"/>
  </w:style>
  <w:style w:type="character" w:customStyle="1" w:styleId="VerbatimChar">
    <w:name w:val="Verbatim Char"/>
    <w:basedOn w:val="BodyTextChar"/>
    <w:rPr>
      <w:rFonts w:ascii="Consolas" w:hAnsi="Consolas"/>
      <w:sz w:val="22"/>
    </w:rPr>
  </w:style>
  <w:style w:type="character" w:styleId="FootnoteReference">
    <w:name w:val="Footnote Reference"/>
    <w:basedOn w:val="BodyTextChar"/>
    <w:rPr>
      <w:vertAlign w:val="superscript"/>
    </w:rPr>
  </w:style>
  <w:style w:type="character" w:styleId="Hyperlink">
    <w:name w:val="Hyperlink"/>
    <w:basedOn w:val="BodyText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rFonts w:asciiTheme="majorHAnsi" w:eastAsiaTheme="majorEastAsia" w:hAnsiTheme="majorHAnsi" w:cstheme="majorBidi"/>
      <w:b w:val="0"/>
      <w:bCs w:val="0"/>
      <w:color w:val="365F91" w:themeColor="accent1" w:themeShade="BF"/>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
<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2026-09-01T00:39:03Z</dcterms:created>
  <dcterms:modified xsi:type="dcterms:W3CDTF">2026-09-01T00:39:03Z</dcterms:modified>
</cp:coreProperties>
</file>

<file path=docProps/custom.xml><?xml version="1.0" encoding="utf-8"?>
<Properties xmlns="http://schemas.openxmlformats.org/officeDocument/2006/custom-properties" xmlns:vt="http://schemas.openxmlformats.org/officeDocument/2006/docPropsVTypes"/>
</file>