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盘前简报-2026-08-31周一"/>
      <w:r>
        <w:t xml:space="preserve">🌅 盘前简报 | 2026-08-31（周一）</w:t>
      </w:r>
      <w:bookmarkEnd w:id="20"/>
    </w:p>
    <w:p>
      <w:pPr>
        <w:pStyle w:val="BlockText"/>
      </w:pPr>
      <w:r>
        <w:t xml:space="preserve">数据基准：A股行情截至 2026-08-28 收盘；离岸人民币及部分商品截至 2026-08-31 08:30。关键数据源覆盖率为 3/7（42.86%）。资金流、板块排行、活跃股、涨跌停样本、公告及核心个股多源校验失败，相关结论均按</w:t>
      </w:r>
      <w:r>
        <w:t xml:space="preserve">“</w:t>
      </w:r>
      <w:r>
        <w:t xml:space="preserve">未核验</w:t>
      </w:r>
      <w:r>
        <w:t xml:space="preserve">”</w:t>
      </w:r>
      <w:r>
        <w:t xml:space="preserve">降级。</w:t>
      </w:r>
    </w:p>
    <w:p>
      <w:pPr>
        <w:pStyle w:val="Heading2"/>
      </w:pPr>
      <w:bookmarkStart w:id="21" w:name="隔夜全球市场"/>
      <w:r>
        <w:t xml:space="preserve">🌐 隔夜全球市场</w:t>
      </w:r>
      <w:bookmarkEnd w:id="21"/>
    </w:p>
    <w:p>
      <w:pPr>
        <w:numPr>
          <w:ilvl w:val="0"/>
          <w:numId w:val="1001"/>
        </w:numPr>
        <w:pStyle w:val="Compact"/>
      </w:pPr>
      <w:r>
        <w:t xml:space="preserve">📉 富时中国A50期指报</w:t>
      </w:r>
      <w:r>
        <w:t xml:space="preserve"> </w:t>
      </w:r>
      <w:r>
        <w:rPr>
          <w:b/>
        </w:rPr>
        <w:t xml:space="preserve">14662.52点，跌0.32%</w:t>
      </w:r>
      <w:r>
        <w:t xml:space="preserve">，盘前风险偏好偏谨慎。</w:t>
      </w:r>
    </w:p>
    <w:p>
      <w:pPr>
        <w:numPr>
          <w:ilvl w:val="0"/>
          <w:numId w:val="1001"/>
        </w:numPr>
        <w:pStyle w:val="Compact"/>
      </w:pPr>
      <w:r>
        <w:t xml:space="preserve">📈 恒生指数最近可得收盘为</w:t>
      </w:r>
      <w:r>
        <w:t xml:space="preserve"> </w:t>
      </w:r>
      <w:r>
        <w:rPr>
          <w:b/>
        </w:rPr>
        <w:t xml:space="preserve">25565.74点，涨0.07%</w:t>
      </w:r>
      <w:r>
        <w:t xml:space="preserve">；该数据日期为8月28日，不代表8月31日港股早盘。</w:t>
      </w:r>
    </w:p>
    <w:p>
      <w:pPr>
        <w:numPr>
          <w:ilvl w:val="0"/>
          <w:numId w:val="1001"/>
        </w:numPr>
        <w:pStyle w:val="Compact"/>
      </w:pPr>
      <w:r>
        <w:t xml:space="preserve">💱 美元离岸人民币报</w:t>
      </w:r>
      <w:r>
        <w:t xml:space="preserve"> </w:t>
      </w:r>
      <w:r>
        <w:rPr>
          <w:b/>
        </w:rPr>
        <w:t xml:space="preserve">6.7296，变动-0.01%</w:t>
      </w:r>
      <w:r>
        <w:t xml:space="preserve">，人民币端暂未显示明显压力。</w:t>
      </w:r>
    </w:p>
    <w:p>
      <w:pPr>
        <w:numPr>
          <w:ilvl w:val="0"/>
          <w:numId w:val="1001"/>
        </w:numPr>
        <w:pStyle w:val="Compact"/>
      </w:pPr>
      <w:r>
        <w:t xml:space="preserve">📉 COMEX黄金报</w:t>
      </w:r>
      <w:r>
        <w:t xml:space="preserve"> </w:t>
      </w:r>
      <w:r>
        <w:rPr>
          <w:b/>
        </w:rPr>
        <w:t xml:space="preserve">4509.213，跌0.46%</w:t>
      </w:r>
      <w:r>
        <w:t xml:space="preserve">；📈 WTI原油报</w:t>
      </w:r>
      <w:r>
        <w:t xml:space="preserve"> </w:t>
      </w:r>
      <w:r>
        <w:rPr>
          <w:b/>
        </w:rPr>
        <w:t xml:space="preserve">84.363，涨1.15%</w:t>
      </w:r>
      <w:r>
        <w:t xml:space="preserve">；📉 伦铜报</w:t>
      </w:r>
      <w:r>
        <w:t xml:space="preserve"> </w:t>
      </w:r>
      <w:r>
        <w:rPr>
          <w:b/>
        </w:rPr>
        <w:t xml:space="preserve">14278.655，跌0.11%</w:t>
      </w:r>
      <w:r>
        <w:t xml:space="preserve">。</w:t>
      </w:r>
    </w:p>
    <w:p>
      <w:pPr>
        <w:numPr>
          <w:ilvl w:val="0"/>
          <w:numId w:val="1001"/>
        </w:numPr>
        <w:pStyle w:val="Compact"/>
      </w:pPr>
      <w:r>
        <w:t xml:space="preserve">⚠️ 美股三大指数、重点中概股及欧洲股市的结构化行情未包含在采集JSON中，华泰文本仅提供部分海外市场描述、未完成本地结构化交叉验证，因此本节不引用具体点位或涨跌幅。</w:t>
      </w:r>
    </w:p>
    <w:p>
      <w:pPr>
        <w:numPr>
          <w:ilvl w:val="0"/>
          <w:numId w:val="1001"/>
        </w:numPr>
        <w:pStyle w:val="Compact"/>
      </w:pPr>
      <w:r>
        <w:t xml:space="preserve">💡 盘前含义：A50偏弱、原油走强、黄金和铜偏弱，开盘更可能是结构分化而非一致性风险偏好上行；商品价格对能源、化工和资源股的映射须等待A股板块资金确认。</w:t>
      </w:r>
    </w:p>
    <w:p>
      <w:r>
        <w:pict>
          <v:rect style="width:0;height:1.5pt" o:hralign="center" o:hrstd="t" o:hr="t"/>
        </w:pict>
      </w:r>
    </w:p>
    <w:p>
      <w:pPr>
        <w:pStyle w:val="Heading2"/>
      </w:pPr>
      <w:bookmarkStart w:id="22" w:name="新闻联播政策面"/>
      <w:r>
        <w:t xml:space="preserve">📺 新闻联播政策面</w:t>
      </w:r>
      <w:bookmarkEnd w:id="22"/>
    </w:p>
    <w:p>
      <w:pPr>
        <w:pStyle w:val="Heading3"/>
      </w:pPr>
      <w:bookmarkStart w:id="23" w:name="总体分析"/>
      <w:r>
        <w:t xml:space="preserve">📌 总体分析</w:t>
      </w:r>
      <w:bookmarkEnd w:id="23"/>
    </w:p>
    <w:p>
      <w:pPr>
        <w:numPr>
          <w:ilvl w:val="0"/>
          <w:numId w:val="1002"/>
        </w:numPr>
        <w:pStyle w:val="Compact"/>
      </w:pPr>
      <w:r>
        <w:t xml:space="preserve">🔴 8月30日《新闻联播》共</w:t>
      </w:r>
      <w:r>
        <w:t xml:space="preserve"> </w:t>
      </w:r>
      <w:r>
        <w:rPr>
          <w:b/>
        </w:rPr>
        <w:t xml:space="preserve">14条</w:t>
      </w:r>
      <w:r>
        <w:t xml:space="preserve">，采集成功</w:t>
      </w:r>
      <w:r>
        <w:t xml:space="preserve"> </w:t>
      </w:r>
      <w:r>
        <w:rPr>
          <w:b/>
        </w:rPr>
        <w:t xml:space="preserve">14条</w:t>
      </w:r>
      <w:r>
        <w:t xml:space="preserve">，目录与详情完整；央视来源已核验，存档路径为</w:t>
      </w:r>
      <w:r>
        <w:t xml:space="preserve"> </w:t>
      </w:r>
      <w:r>
        <w:rPr>
          <w:rStyle w:val="VerbatimChar"/>
        </w:rPr>
        <w:t xml:space="preserve">memory/xinwenlianbo/2026-08-30.md</w:t>
      </w:r>
      <w:r>
        <w:t xml:space="preserve">。</w:t>
      </w:r>
    </w:p>
    <w:p>
      <w:pPr>
        <w:numPr>
          <w:ilvl w:val="0"/>
          <w:numId w:val="1002"/>
        </w:numPr>
        <w:pStyle w:val="Compact"/>
      </w:pPr>
      <w:r>
        <w:t xml:space="preserve">🔥 最强产业信号来自数据产业与</w:t>
      </w:r>
      <w:r>
        <w:t xml:space="preserve">“</w:t>
      </w:r>
      <w:r>
        <w:t xml:space="preserve">算电协同</w:t>
      </w:r>
      <w:r>
        <w:t xml:space="preserve">”</w:t>
      </w:r>
      <w:r>
        <w:t xml:space="preserve">：32城数据标注先行先试、14家央国企开放超60亿条高价值数据，叠加内蒙古绿电直连、储能和算力中心建设，利好数据要素、AI数据服务、算力基础设施、绿电及储能链。</w:t>
      </w:r>
    </w:p>
    <w:p>
      <w:pPr>
        <w:numPr>
          <w:ilvl w:val="0"/>
          <w:numId w:val="1002"/>
        </w:numPr>
        <w:pStyle w:val="Compact"/>
      </w:pPr>
      <w:r>
        <w:t xml:space="preserve">📈 农业科技、昆虫雷达、植保无人机和农产品流通体系形成粮食安全政策链，偏利好智慧农业、农业信息化、植保装备与农产品流通，但必须等待资金和板块强度确认。</w:t>
      </w:r>
    </w:p>
    <w:p>
      <w:pPr>
        <w:numPr>
          <w:ilvl w:val="0"/>
          <w:numId w:val="1002"/>
        </w:numPr>
        <w:pStyle w:val="Compact"/>
      </w:pPr>
      <w:r>
        <w:t xml:space="preserve">🌍 上合组织峰会、中吉乌铁路、中欧班列及人形机器人国际产能合作，提供</w:t>
      </w:r>
      <w:r>
        <w:t xml:space="preserve">“</w:t>
      </w:r>
      <w:r>
        <w:t xml:space="preserve">一带一路</w:t>
      </w:r>
      <w:r>
        <w:t xml:space="preserve">”</w:t>
      </w:r>
      <w:r>
        <w:t xml:space="preserve">、跨境物流、工程建设和机器人产业催化；峰会成果未落地前不宜按实质订单交易。</w:t>
      </w:r>
    </w:p>
    <w:p>
      <w:pPr>
        <w:numPr>
          <w:ilvl w:val="0"/>
          <w:numId w:val="1002"/>
        </w:numPr>
        <w:pStyle w:val="Compact"/>
      </w:pPr>
      <w:r>
        <w:t xml:space="preserve">⚠️ 西藏泥石流、霍尔木兹海峡仍未重开、俄乌冲突及欧洲天然气低库存，分别对应应急救援、油气价格和欧洲能源链扰动；事件交易波动大，不追高。</w:t>
      </w:r>
    </w:p>
    <w:p>
      <w:pPr>
        <w:numPr>
          <w:ilvl w:val="0"/>
          <w:numId w:val="1002"/>
        </w:numPr>
        <w:pStyle w:val="Compact"/>
      </w:pPr>
      <w:r>
        <w:t xml:space="preserve">💡 政策力度判断：数据开放、医保立法和农业规划属于可执行或制度性信号；峰会合作与产业报道偏方向性催化，需后续项目、订单和资金流验证。</w:t>
      </w:r>
    </w:p>
    <w:p>
      <w:pPr>
        <w:pStyle w:val="Heading3"/>
      </w:pPr>
      <w:bookmarkStart w:id="24" w:name="逐条新闻解读"/>
      <w:r>
        <w:t xml:space="preserve">📰 逐条新闻解读</w:t>
      </w:r>
      <w:bookmarkEnd w:id="24"/>
    </w:p>
    <w:p>
      <w:pPr>
        <w:pStyle w:val="Heading4"/>
      </w:pPr>
      <w:bookmarkStart w:id="25" w:name="习近平离京出席2026年上海合作组织峰会并对吉尔吉斯斯坦埃及进行国事访问"/>
      <w:r>
        <w:t xml:space="preserve">习近平离京出席2026年上海合作组织峰会并对吉尔吉斯斯坦、埃及进行国事访问</w:t>
      </w:r>
      <w:bookmarkEnd w:id="25"/>
    </w:p>
    <w:p>
      <w:pPr>
        <w:numPr>
          <w:ilvl w:val="0"/>
          <w:numId w:val="1003"/>
        </w:numPr>
        <w:pStyle w:val="Compact"/>
      </w:pPr>
      <w:r>
        <w:t xml:space="preserve">A股影响：偏利好</w:t>
      </w:r>
    </w:p>
    <w:p>
      <w:pPr>
        <w:numPr>
          <w:ilvl w:val="0"/>
          <w:numId w:val="1003"/>
        </w:numPr>
        <w:pStyle w:val="Compact"/>
      </w:pPr>
      <w:r>
        <w:t xml:space="preserve">相关板块：一带一路、跨境物流、国际工程、铁路装备</w:t>
      </w:r>
    </w:p>
    <w:p>
      <w:pPr>
        <w:numPr>
          <w:ilvl w:val="0"/>
          <w:numId w:val="1003"/>
        </w:numPr>
        <w:pStyle w:val="Compact"/>
      </w:pPr>
      <w:r>
        <w:t xml:space="preserve">核心解读：峰会及国事访问提升区域合作预期，但当前主要是外交议程，尚不能直接推导新增订单。</w:t>
      </w:r>
    </w:p>
    <w:p>
      <w:pPr>
        <w:numPr>
          <w:ilvl w:val="0"/>
          <w:numId w:val="1003"/>
        </w:numPr>
        <w:pStyle w:val="Compact"/>
      </w:pPr>
      <w:r>
        <w:t xml:space="preserve">验证条件：观察峰会是否发布基建、能源、贸易项目清单；若无实质项目或相关板块无资金承接，催化失效。</w:t>
      </w:r>
    </w:p>
    <w:p>
      <w:pPr>
        <w:pStyle w:val="Heading4"/>
      </w:pPr>
      <w:bookmarkStart w:id="26" w:name="习近平抵达比什凯克出席2026年上海合作组织峰会并对吉尔吉斯斯坦进行国事访问"/>
      <w:r>
        <w:t xml:space="preserve">习近平抵达比什凯克出席2026年上海合作组织峰会并对吉尔吉斯斯坦进行国事访问</w:t>
      </w:r>
      <w:bookmarkEnd w:id="26"/>
    </w:p>
    <w:p>
      <w:pPr>
        <w:numPr>
          <w:ilvl w:val="0"/>
          <w:numId w:val="1004"/>
        </w:numPr>
        <w:pStyle w:val="Compact"/>
      </w:pPr>
      <w:r>
        <w:t xml:space="preserve">A股影响：偏利好</w:t>
      </w:r>
    </w:p>
    <w:p>
      <w:pPr>
        <w:numPr>
          <w:ilvl w:val="0"/>
          <w:numId w:val="1004"/>
        </w:numPr>
        <w:pStyle w:val="Compact"/>
      </w:pPr>
      <w:r>
        <w:t xml:space="preserve">相关板块：中吉乌铁路、跨境物流、工程机械、口岸贸易</w:t>
      </w:r>
    </w:p>
    <w:p>
      <w:pPr>
        <w:numPr>
          <w:ilvl w:val="0"/>
          <w:numId w:val="1004"/>
        </w:numPr>
        <w:pStyle w:val="Compact"/>
      </w:pPr>
      <w:r>
        <w:t xml:space="preserve">核心解读：原文明确中吉乌铁路等大项目顺利实施，区域互联互通是最直接映射。</w:t>
      </w:r>
    </w:p>
    <w:p>
      <w:pPr>
        <w:numPr>
          <w:ilvl w:val="0"/>
          <w:numId w:val="1004"/>
        </w:numPr>
        <w:pStyle w:val="Compact"/>
      </w:pPr>
      <w:r>
        <w:t xml:space="preserve">验证条件：需见项目进度、招标或订单增量，并观察铁路基建与物流板块成交和资金共振；高开低走则不追。</w:t>
      </w:r>
    </w:p>
    <w:p>
      <w:pPr>
        <w:pStyle w:val="Heading4"/>
      </w:pPr>
      <w:bookmarkStart w:id="27" w:name="平语近人习近平喜欢的典故多语种版在上海合作组织国家主流媒体播出"/>
      <w:r>
        <w:t xml:space="preserve">《平</w:t>
      </w:r>
      <w:r>
        <w:t xml:space="preserve">“</w:t>
      </w:r>
      <w:r>
        <w:t xml:space="preserve">语</w:t>
      </w:r>
      <w:r>
        <w:t xml:space="preserve">”</w:t>
      </w:r>
      <w:r>
        <w:t xml:space="preserve">近人——习近平喜欢的典故》（多语种版）在上海合作组织国家主流媒体播出</w:t>
      </w:r>
      <w:bookmarkEnd w:id="27"/>
    </w:p>
    <w:p>
      <w:pPr>
        <w:numPr>
          <w:ilvl w:val="0"/>
          <w:numId w:val="1005"/>
        </w:numPr>
        <w:pStyle w:val="Compact"/>
      </w:pPr>
      <w:r>
        <w:t xml:space="preserve">A股影响：中性</w:t>
      </w:r>
    </w:p>
    <w:p>
      <w:pPr>
        <w:numPr>
          <w:ilvl w:val="0"/>
          <w:numId w:val="1005"/>
        </w:numPr>
        <w:pStyle w:val="Compact"/>
      </w:pPr>
      <w:r>
        <w:t xml:space="preserve">相关板块：文化传媒、国际传播；总体无直接业绩映射</w:t>
      </w:r>
    </w:p>
    <w:p>
      <w:pPr>
        <w:numPr>
          <w:ilvl w:val="0"/>
          <w:numId w:val="1005"/>
        </w:numPr>
        <w:pStyle w:val="Compact"/>
      </w:pPr>
      <w:r>
        <w:t xml:space="preserve">核心解读：有利于国际传播与上合国家人文交流，但对上市公司盈利的传导较弱。</w:t>
      </w:r>
    </w:p>
    <w:p>
      <w:pPr>
        <w:numPr>
          <w:ilvl w:val="0"/>
          <w:numId w:val="1005"/>
        </w:numPr>
        <w:pStyle w:val="Compact"/>
      </w:pPr>
      <w:r>
        <w:t xml:space="preserve">验证条件：仅在后续出现具体版权、内容出海或平台合作订单时再评估产业影响。</w:t>
      </w:r>
    </w:p>
    <w:p>
      <w:pPr>
        <w:pStyle w:val="Heading4"/>
      </w:pPr>
      <w:bookmarkStart w:id="28" w:name="凝心聚力-真抓实干-奋力实现十五五良好开局内蒙古加快绿色产业发展"/>
      <w:r>
        <w:t xml:space="preserve">【凝心聚力 真抓实干 奋力实现</w:t>
      </w:r>
      <w:r>
        <w:t xml:space="preserve">“</w:t>
      </w:r>
      <w:r>
        <w:t xml:space="preserve">十五五</w:t>
      </w:r>
      <w:r>
        <w:t xml:space="preserve">”</w:t>
      </w:r>
      <w:r>
        <w:t xml:space="preserve">良好开局】内蒙古加快绿色产业发展</w:t>
      </w:r>
      <w:bookmarkEnd w:id="28"/>
    </w:p>
    <w:p>
      <w:pPr>
        <w:numPr>
          <w:ilvl w:val="0"/>
          <w:numId w:val="1006"/>
        </w:numPr>
        <w:pStyle w:val="Compact"/>
      </w:pPr>
      <w:r>
        <w:t xml:space="preserve">A股影响：利好</w:t>
      </w:r>
    </w:p>
    <w:p>
      <w:pPr>
        <w:numPr>
          <w:ilvl w:val="0"/>
          <w:numId w:val="1006"/>
        </w:numPr>
        <w:pStyle w:val="Compact"/>
      </w:pPr>
      <w:r>
        <w:t xml:space="preserve">相关板块：绿电直连、储能、风光设备、算力中心、绿氢、煤化工低碳改造</w:t>
      </w:r>
    </w:p>
    <w:p>
      <w:pPr>
        <w:numPr>
          <w:ilvl w:val="0"/>
          <w:numId w:val="1006"/>
        </w:numPr>
        <w:pStyle w:val="Compact"/>
      </w:pPr>
      <w:r>
        <w:t xml:space="preserve">核心解读：内蒙古计划每年新增新能源装机3000万千瓦以上，2030年新能源总装机达到3.25亿千瓦，并推进绿电直连、算电协同和储能配套，属于明确产业建设信号。</w:t>
      </w:r>
    </w:p>
    <w:p>
      <w:pPr>
        <w:numPr>
          <w:ilvl w:val="0"/>
          <w:numId w:val="1006"/>
        </w:numPr>
        <w:pStyle w:val="Compact"/>
      </w:pPr>
      <w:r>
        <w:t xml:space="preserve">验证条件：观察绿电、储能与算力基础设施是否同步放量；若只有题材高开而无成交和订单验证，按兑现处理。</w:t>
      </w:r>
    </w:p>
    <w:p>
      <w:pPr>
        <w:pStyle w:val="Heading4"/>
      </w:pPr>
      <w:bookmarkStart w:id="29" w:name="我国推出新举措加快数据产业发展"/>
      <w:r>
        <w:t xml:space="preserve">我国推出新举措加快数据产业发展</w:t>
      </w:r>
      <w:bookmarkEnd w:id="29"/>
    </w:p>
    <w:p>
      <w:pPr>
        <w:numPr>
          <w:ilvl w:val="0"/>
          <w:numId w:val="1007"/>
        </w:numPr>
        <w:pStyle w:val="Compact"/>
      </w:pPr>
      <w:r>
        <w:t xml:space="preserve">A股影响：利好</w:t>
      </w:r>
    </w:p>
    <w:p>
      <w:pPr>
        <w:numPr>
          <w:ilvl w:val="0"/>
          <w:numId w:val="1007"/>
        </w:numPr>
        <w:pStyle w:val="Compact"/>
      </w:pPr>
      <w:r>
        <w:t xml:space="preserve">相关板块：数据要素、数据标注、AI训练数据、央企数字化、职业教育</w:t>
      </w:r>
    </w:p>
    <w:p>
      <w:pPr>
        <w:numPr>
          <w:ilvl w:val="0"/>
          <w:numId w:val="1007"/>
        </w:numPr>
        <w:pStyle w:val="Compact"/>
      </w:pPr>
      <w:r>
        <w:t xml:space="preserve">核心解读：32城先行先试、14家央国企开放超60亿条高价值数据，政策从原则支持推进到数据开放和应用场景建设；数据产业规模已超6万亿元。</w:t>
      </w:r>
    </w:p>
    <w:p>
      <w:pPr>
        <w:numPr>
          <w:ilvl w:val="0"/>
          <w:numId w:val="1007"/>
        </w:numPr>
        <w:pStyle w:val="Compact"/>
      </w:pPr>
      <w:r>
        <w:t xml:space="preserve">验证条件：需观察数据要素板块资金净流入、成交放大及城市试点名单落地；若龙头高开回落且板块无扩散，短线信号失效。</w:t>
      </w:r>
    </w:p>
    <w:p>
      <w:pPr>
        <w:pStyle w:val="Heading4"/>
      </w:pPr>
      <w:bookmarkStart w:id="30" w:name="上半年全国新设外商投资企业3.5万户"/>
      <w:r>
        <w:t xml:space="preserve">上半年全国新设外商投资企业3.5万户</w:t>
      </w:r>
      <w:bookmarkEnd w:id="30"/>
    </w:p>
    <w:p>
      <w:pPr>
        <w:numPr>
          <w:ilvl w:val="0"/>
          <w:numId w:val="1008"/>
        </w:numPr>
        <w:pStyle w:val="Compact"/>
      </w:pPr>
      <w:r>
        <w:t xml:space="preserve">A股影响：偏利好</w:t>
      </w:r>
    </w:p>
    <w:p>
      <w:pPr>
        <w:numPr>
          <w:ilvl w:val="0"/>
          <w:numId w:val="1008"/>
        </w:numPr>
        <w:pStyle w:val="Compact"/>
      </w:pPr>
      <w:r>
        <w:t xml:space="preserve">相关板块：消费服务、零售、餐饮、医疗服务、外资服务</w:t>
      </w:r>
    </w:p>
    <w:p>
      <w:pPr>
        <w:numPr>
          <w:ilvl w:val="0"/>
          <w:numId w:val="1008"/>
        </w:numPr>
        <w:pStyle w:val="Compact"/>
      </w:pPr>
      <w:r>
        <w:t xml:space="preserve">核心解读：新设外资企业同比增长7.0%，卫生和社会工作、零售、住宿餐饮增速较高，体现服务消费领域开放韧性。</w:t>
      </w:r>
    </w:p>
    <w:p>
      <w:pPr>
        <w:numPr>
          <w:ilvl w:val="0"/>
          <w:numId w:val="1008"/>
        </w:numPr>
        <w:pStyle w:val="Compact"/>
      </w:pPr>
      <w:r>
        <w:t xml:space="preserve">验证条件：观察后续实际使用外资、消费数据及相关板块盈利改善；仅有企业数量增长不足以确认利润增量。</w:t>
      </w:r>
    </w:p>
    <w:p>
      <w:pPr>
        <w:pStyle w:val="Heading4"/>
      </w:pPr>
      <w:bookmarkStart w:id="31" w:name="西藏吉隆县泥石流灾害抢险救援工作有力有序推进"/>
      <w:r>
        <w:t xml:space="preserve">西藏吉隆县泥石流灾害抢险救援工作有力有序推进</w:t>
      </w:r>
      <w:bookmarkEnd w:id="31"/>
    </w:p>
    <w:p>
      <w:pPr>
        <w:numPr>
          <w:ilvl w:val="0"/>
          <w:numId w:val="1009"/>
        </w:numPr>
        <w:pStyle w:val="Compact"/>
      </w:pPr>
      <w:r>
        <w:t xml:space="preserve">A股影响：中性</w:t>
      </w:r>
    </w:p>
    <w:p>
      <w:pPr>
        <w:numPr>
          <w:ilvl w:val="0"/>
          <w:numId w:val="1009"/>
        </w:numPr>
        <w:pStyle w:val="Compact"/>
      </w:pPr>
      <w:r>
        <w:t xml:space="preserve">相关板块：应急救援、卫星遥感、工程机械、电力抢修；不宜事件炒作</w:t>
      </w:r>
    </w:p>
    <w:p>
      <w:pPr>
        <w:numPr>
          <w:ilvl w:val="0"/>
          <w:numId w:val="1009"/>
        </w:numPr>
        <w:pStyle w:val="Compact"/>
      </w:pPr>
      <w:r>
        <w:t xml:space="preserve">核心解读：救援仍是首要任务，216国道抢通、电力保障、卫星和水文数据应用可能提升应急装备关注度，但灾害不应被当作确定性交易逻辑。</w:t>
      </w:r>
    </w:p>
    <w:p>
      <w:pPr>
        <w:numPr>
          <w:ilvl w:val="0"/>
          <w:numId w:val="1009"/>
        </w:numPr>
        <w:pStyle w:val="Compact"/>
      </w:pPr>
      <w:r>
        <w:t xml:space="preserve">验证条件：仅观察正式救灾采购或灾后重建安排；无政策与订单时不做板块外推。</w:t>
      </w:r>
    </w:p>
    <w:p>
      <w:pPr>
        <w:pStyle w:val="Heading4"/>
      </w:pPr>
      <w:bookmarkStart w:id="32" w:name="科技助力田管-推动粮食稳产增收"/>
      <w:r>
        <w:t xml:space="preserve">科技助力田管 推动粮食稳产增收</w:t>
      </w:r>
      <w:bookmarkEnd w:id="32"/>
    </w:p>
    <w:p>
      <w:pPr>
        <w:numPr>
          <w:ilvl w:val="0"/>
          <w:numId w:val="1010"/>
        </w:numPr>
        <w:pStyle w:val="Compact"/>
      </w:pPr>
      <w:r>
        <w:t xml:space="preserve">A股影响：偏利好</w:t>
      </w:r>
    </w:p>
    <w:p>
      <w:pPr>
        <w:numPr>
          <w:ilvl w:val="0"/>
          <w:numId w:val="1010"/>
        </w:numPr>
        <w:pStyle w:val="Compact"/>
      </w:pPr>
      <w:r>
        <w:t xml:space="preserve">相关板块：植保无人机、智慧农业、农业传感器、种业</w:t>
      </w:r>
    </w:p>
    <w:p>
      <w:pPr>
        <w:numPr>
          <w:ilvl w:val="0"/>
          <w:numId w:val="1010"/>
        </w:numPr>
        <w:pStyle w:val="Compact"/>
      </w:pPr>
      <w:r>
        <w:t xml:space="preserve">核心解读：无人机精准飞防、毫米波雷达和土壤监测平台提升秋粮田管效率，映射农业装备数字化需求。</w:t>
      </w:r>
    </w:p>
    <w:p>
      <w:pPr>
        <w:numPr>
          <w:ilvl w:val="0"/>
          <w:numId w:val="1010"/>
        </w:numPr>
        <w:pStyle w:val="Compact"/>
      </w:pPr>
      <w:r>
        <w:t xml:space="preserve">验证条件：农业科技板块需出现成交放量和核心标的承接；若仅个别小票脉冲，不作为主攻方向。</w:t>
      </w:r>
    </w:p>
    <w:p>
      <w:pPr>
        <w:pStyle w:val="Heading4"/>
      </w:pPr>
      <w:bookmarkStart w:id="33" w:name="虫口夺粮背后的科技力量"/>
      <w:r>
        <w:t xml:space="preserve">“</w:t>
      </w:r>
      <w:r>
        <w:t xml:space="preserve">虫口夺粮</w:t>
      </w:r>
      <w:r>
        <w:t xml:space="preserve">”</w:t>
      </w:r>
      <w:r>
        <w:t xml:space="preserve">背后的科技力量</w:t>
      </w:r>
      <w:bookmarkEnd w:id="33"/>
    </w:p>
    <w:p>
      <w:pPr>
        <w:numPr>
          <w:ilvl w:val="0"/>
          <w:numId w:val="1011"/>
        </w:numPr>
        <w:pStyle w:val="Compact"/>
      </w:pPr>
      <w:r>
        <w:t xml:space="preserve">A股影响：偏利好</w:t>
      </w:r>
    </w:p>
    <w:p>
      <w:pPr>
        <w:numPr>
          <w:ilvl w:val="0"/>
          <w:numId w:val="1011"/>
        </w:numPr>
        <w:pStyle w:val="Compact"/>
      </w:pPr>
      <w:r>
        <w:t xml:space="preserve">相关板块：昆虫雷达、农业监测、植保设备、粮食安全</w:t>
      </w:r>
    </w:p>
    <w:p>
      <w:pPr>
        <w:numPr>
          <w:ilvl w:val="0"/>
          <w:numId w:val="1011"/>
        </w:numPr>
        <w:pStyle w:val="Compact"/>
      </w:pPr>
      <w:r>
        <w:t xml:space="preserve">核心解读：全国已有65部昆虫雷达接入国家平台，预计2030年突破150部，给出可量化建设路径，但上市公司直接受益关系仍需核验。</w:t>
      </w:r>
    </w:p>
    <w:p>
      <w:pPr>
        <w:numPr>
          <w:ilvl w:val="0"/>
          <w:numId w:val="1011"/>
        </w:numPr>
        <w:pStyle w:val="Compact"/>
      </w:pPr>
      <w:r>
        <w:t xml:space="preserve">验证条件：等待设备招标、供应商名单及订单披露；无法确认标的映射时只做主题观察。</w:t>
      </w:r>
    </w:p>
    <w:p>
      <w:pPr>
        <w:pStyle w:val="Heading4"/>
      </w:pPr>
      <w:bookmarkStart w:id="34" w:name="技能培训提升就业能力"/>
      <w:r>
        <w:t xml:space="preserve">技能培训提升就业能力</w:t>
      </w:r>
      <w:bookmarkEnd w:id="34"/>
    </w:p>
    <w:p>
      <w:pPr>
        <w:numPr>
          <w:ilvl w:val="0"/>
          <w:numId w:val="1012"/>
        </w:numPr>
        <w:pStyle w:val="Compact"/>
      </w:pPr>
      <w:r>
        <w:t xml:space="preserve">A股影响：偏利好</w:t>
      </w:r>
    </w:p>
    <w:p>
      <w:pPr>
        <w:numPr>
          <w:ilvl w:val="0"/>
          <w:numId w:val="1012"/>
        </w:numPr>
        <w:pStyle w:val="Compact"/>
      </w:pPr>
      <w:r>
        <w:t xml:space="preserve">相关板块：职业教育、人工智能培训、智能制造、低空经济人才服务</w:t>
      </w:r>
    </w:p>
    <w:p>
      <w:pPr>
        <w:numPr>
          <w:ilvl w:val="0"/>
          <w:numId w:val="1012"/>
        </w:numPr>
        <w:pStyle w:val="Compact"/>
      </w:pPr>
      <w:r>
        <w:t xml:space="preserve">核心解读：全年补贴性培训目标超过1000万人次，培训方向与AI、智能制造、低空经济等产业需求对接。</w:t>
      </w:r>
    </w:p>
    <w:p>
      <w:pPr>
        <w:numPr>
          <w:ilvl w:val="0"/>
          <w:numId w:val="1012"/>
        </w:numPr>
        <w:pStyle w:val="Compact"/>
      </w:pPr>
      <w:r>
        <w:t xml:space="preserve">验证条件：观察地方补贴细则、培训订单和职业教育公司收入兑现；无订单则属于中长期政策背景。</w:t>
      </w:r>
    </w:p>
    <w:p>
      <w:pPr>
        <w:pStyle w:val="Heading4"/>
      </w:pPr>
      <w:bookmarkStart w:id="35" w:name="我国健全多层次医保体系-满足多样化保障需求"/>
      <w:r>
        <w:t xml:space="preserve">我国健全多层次医保体系 满足多样化保障需求</w:t>
      </w:r>
      <w:bookmarkEnd w:id="35"/>
    </w:p>
    <w:p>
      <w:pPr>
        <w:numPr>
          <w:ilvl w:val="0"/>
          <w:numId w:val="1013"/>
        </w:numPr>
        <w:pStyle w:val="Compact"/>
      </w:pPr>
      <w:r>
        <w:t xml:space="preserve">A股影响：偏利好</w:t>
      </w:r>
    </w:p>
    <w:p>
      <w:pPr>
        <w:numPr>
          <w:ilvl w:val="0"/>
          <w:numId w:val="1013"/>
        </w:numPr>
        <w:pStyle w:val="Compact"/>
      </w:pPr>
      <w:r>
        <w:t xml:space="preserve">相关板块：商业健康险、医疗服务、医保信息化；药品支付端影响需分化看待</w:t>
      </w:r>
    </w:p>
    <w:p>
      <w:pPr>
        <w:numPr>
          <w:ilvl w:val="0"/>
          <w:numId w:val="1013"/>
        </w:numPr>
        <w:pStyle w:val="Compact"/>
      </w:pPr>
      <w:r>
        <w:t xml:space="preserve">核心解读：医疗保障法将于明年1月1日起施行，多层次医保体系为商业健康险和医保信息化提供制度基础，同时支付规范可能强化医药行业合规约束。</w:t>
      </w:r>
    </w:p>
    <w:p>
      <w:pPr>
        <w:numPr>
          <w:ilvl w:val="0"/>
          <w:numId w:val="1013"/>
        </w:numPr>
        <w:pStyle w:val="Compact"/>
      </w:pPr>
      <w:r>
        <w:t xml:space="preserve">验证条件：等待配套细则和商业险协同支付机制；若政策侧重控费，需防范医药利润端承压。</w:t>
      </w:r>
    </w:p>
    <w:p>
      <w:pPr>
        <w:pStyle w:val="Heading4"/>
      </w:pPr>
      <w:bookmarkStart w:id="36" w:name="国内联播快讯"/>
      <w:r>
        <w:t xml:space="preserve">国内联播快讯</w:t>
      </w:r>
      <w:bookmarkEnd w:id="36"/>
    </w:p>
    <w:p>
      <w:pPr>
        <w:numPr>
          <w:ilvl w:val="0"/>
          <w:numId w:val="1014"/>
        </w:numPr>
        <w:pStyle w:val="Compact"/>
      </w:pPr>
      <w:r>
        <w:t xml:space="preserve">A股影响：偏利好</w:t>
      </w:r>
    </w:p>
    <w:p>
      <w:pPr>
        <w:numPr>
          <w:ilvl w:val="0"/>
          <w:numId w:val="1014"/>
        </w:numPr>
        <w:pStyle w:val="Compact"/>
      </w:pPr>
      <w:r>
        <w:t xml:space="preserve">相关板块：农产品流通、商业航天遥感、特高压、新能源汽车、中欧班列</w:t>
      </w:r>
    </w:p>
    <w:p>
      <w:pPr>
        <w:numPr>
          <w:ilvl w:val="0"/>
          <w:numId w:val="1014"/>
        </w:numPr>
        <w:pStyle w:val="Compact"/>
      </w:pPr>
      <w:r>
        <w:t xml:space="preserve">核心解读：2030年建成50个农产品产地市场集群、全国0.5米几何基准影像、新疆750千伏线路超15000公里及广州中欧班列十年货值超1100亿元，提供多条具备实物工作量的线索。</w:t>
      </w:r>
    </w:p>
    <w:p>
      <w:pPr>
        <w:numPr>
          <w:ilvl w:val="0"/>
          <w:numId w:val="1014"/>
        </w:numPr>
        <w:pStyle w:val="Compact"/>
      </w:pPr>
      <w:r>
        <w:t xml:space="preserve">验证条件：分别等待规划项目、遥感商业化、电网投资及班列增量数据；板块未出现资金与成交共振时不同时铺开交易。</w:t>
      </w:r>
    </w:p>
    <w:p>
      <w:pPr>
        <w:pStyle w:val="Heading4"/>
      </w:pPr>
      <w:bookmarkStart w:id="37" w:name="X8722ae00f8ce84a8456bf8d258deab734066334"/>
      <w:r>
        <w:t xml:space="preserve">推动中吉新时代全面战略伙伴关系迈上新台阶——吉尔吉斯斯坦各界人士欢迎习近平主席对吉尔吉斯斯坦进行国事访问</w:t>
      </w:r>
      <w:bookmarkEnd w:id="37"/>
    </w:p>
    <w:p>
      <w:pPr>
        <w:numPr>
          <w:ilvl w:val="0"/>
          <w:numId w:val="1015"/>
        </w:numPr>
        <w:pStyle w:val="Compact"/>
      </w:pPr>
      <w:r>
        <w:t xml:space="preserve">A股影响：偏利好</w:t>
      </w:r>
    </w:p>
    <w:p>
      <w:pPr>
        <w:numPr>
          <w:ilvl w:val="0"/>
          <w:numId w:val="1015"/>
        </w:numPr>
        <w:pStyle w:val="Compact"/>
      </w:pPr>
      <w:r>
        <w:t xml:space="preserve">相关板块：一带一路、中亚贸易、跨境基建</w:t>
      </w:r>
    </w:p>
    <w:p>
      <w:pPr>
        <w:numPr>
          <w:ilvl w:val="0"/>
          <w:numId w:val="1015"/>
        </w:numPr>
        <w:pStyle w:val="Compact"/>
      </w:pPr>
      <w:r>
        <w:t xml:space="preserve">核心解读：强化中吉合作预期，但本条未披露新增项目金额，短线更多是峰会预期交易。</w:t>
      </w:r>
    </w:p>
    <w:p>
      <w:pPr>
        <w:numPr>
          <w:ilvl w:val="0"/>
          <w:numId w:val="1015"/>
        </w:numPr>
        <w:pStyle w:val="Compact"/>
      </w:pPr>
      <w:r>
        <w:t xml:space="preserve">验证条件：以联合声明、项目清单和订单为准；缺少实质成果时相关题材冲高应谨慎。</w:t>
      </w:r>
    </w:p>
    <w:p>
      <w:pPr>
        <w:pStyle w:val="Heading4"/>
      </w:pPr>
      <w:bookmarkStart w:id="38" w:name="国际联播快讯"/>
      <w:r>
        <w:t xml:space="preserve">国际联播快讯</w:t>
      </w:r>
      <w:bookmarkEnd w:id="38"/>
    </w:p>
    <w:p>
      <w:pPr>
        <w:numPr>
          <w:ilvl w:val="0"/>
          <w:numId w:val="1016"/>
        </w:numPr>
        <w:pStyle w:val="Compact"/>
      </w:pPr>
      <w:r>
        <w:t xml:space="preserve">A股影响：结构性</w:t>
      </w:r>
    </w:p>
    <w:p>
      <w:pPr>
        <w:numPr>
          <w:ilvl w:val="0"/>
          <w:numId w:val="1016"/>
        </w:numPr>
        <w:pStyle w:val="Compact"/>
      </w:pPr>
      <w:r>
        <w:t xml:space="preserve">相关板块：人形机器人、油气、天然气、军工；地缘风险板块</w:t>
      </w:r>
    </w:p>
    <w:p>
      <w:pPr>
        <w:numPr>
          <w:ilvl w:val="0"/>
          <w:numId w:val="1016"/>
        </w:numPr>
        <w:pStyle w:val="Compact"/>
      </w:pPr>
      <w:r>
        <w:t xml:space="preserve">核心解读：中塞人形机器人工厂启动量产偏利好机器人产业出海；霍尔木兹海峡未重开与欧洲天然气低库存推升能源扰动风险；俄乌冲突升级压制全球风险偏好。</w:t>
      </w:r>
    </w:p>
    <w:p>
      <w:pPr>
        <w:numPr>
          <w:ilvl w:val="0"/>
          <w:numId w:val="1016"/>
        </w:numPr>
        <w:pStyle w:val="Compact"/>
      </w:pPr>
      <w:r>
        <w:t xml:space="preserve">验证条件：机器人看订单和产业链映射，能源看油气价格与A股资金共振；若事件缓和或商品价格回落，交易逻辑迅速失效。</w:t>
      </w:r>
    </w:p>
    <w:p>
      <w:r>
        <w:pict>
          <v:rect style="width:0;height:1.5pt" o:hralign="center" o:hrstd="t" o:hr="t"/>
        </w:pict>
      </w:r>
    </w:p>
    <w:p>
      <w:pPr>
        <w:pStyle w:val="Heading2"/>
      </w:pPr>
      <w:bookmarkStart w:id="39" w:name="今日重要公告"/>
      <w:r>
        <w:t xml:space="preserve">📋 今日重要公告</w:t>
      </w:r>
      <w:bookmarkEnd w:id="39"/>
    </w:p>
    <w:p>
      <w:pPr>
        <w:numPr>
          <w:ilvl w:val="0"/>
          <w:numId w:val="1017"/>
        </w:numPr>
        <w:pStyle w:val="Compact"/>
      </w:pPr>
      <w:r>
        <w:t xml:space="preserve">⚠️ 东方财富公告源返回</w:t>
      </w:r>
      <w:r>
        <w:t xml:space="preserve"> </w:t>
      </w:r>
      <w:r>
        <w:rPr>
          <w:b/>
        </w:rPr>
        <w:t xml:space="preserve">HTTP 567</w:t>
      </w:r>
      <w:r>
        <w:t xml:space="preserve">，增减持、解禁、业绩、停复牌、重组及监管问询榜单均为</w:t>
      </w:r>
      <w:r>
        <w:t xml:space="preserve"> </w:t>
      </w:r>
      <w:r>
        <w:rPr>
          <w:b/>
        </w:rPr>
        <w:t xml:space="preserve">未核验</w:t>
      </w:r>
      <w:r>
        <w:t xml:space="preserve">。</w:t>
      </w:r>
    </w:p>
    <w:p>
      <w:pPr>
        <w:numPr>
          <w:ilvl w:val="0"/>
          <w:numId w:val="1017"/>
        </w:numPr>
        <w:pStyle w:val="Compact"/>
      </w:pPr>
      <w:r>
        <w:t xml:space="preserve">🚫 不把</w:t>
      </w:r>
      <w:r>
        <w:t xml:space="preserve">“</w:t>
      </w:r>
      <w:r>
        <w:t xml:space="preserve">中报披露截止日</w:t>
      </w:r>
      <w:r>
        <w:t xml:space="preserve">”</w:t>
      </w:r>
      <w:r>
        <w:t xml:space="preserve">等华泰文本提示扩写成具体公司公告，也不虚构排雷名单。</w:t>
      </w:r>
    </w:p>
    <w:p>
      <w:pPr>
        <w:numPr>
          <w:ilvl w:val="0"/>
          <w:numId w:val="1017"/>
        </w:numPr>
        <w:pStyle w:val="Compact"/>
      </w:pPr>
      <w:r>
        <w:t xml:space="preserve">💡 开盘前需在交易终端逐只核对持仓与拟交易标的公告；出现业绩大幅不及预期、立案调查、重大减持或停牌信息时，原策略立即失效。</w:t>
      </w:r>
    </w:p>
    <w:p>
      <w:r>
        <w:pict>
          <v:rect style="width:0;height:1.5pt" o:hralign="center" o:hrstd="t" o:hr="t"/>
        </w:pict>
      </w:r>
    </w:p>
    <w:p>
      <w:pPr>
        <w:pStyle w:val="Heading2"/>
      </w:pPr>
      <w:bookmarkStart w:id="40" w:name="今日经济数据事件"/>
      <w:r>
        <w:t xml:space="preserve">📅 今日经济数据/事件</w:t>
      </w:r>
      <w:bookmarkEnd w:id="40"/>
    </w:p>
    <w:p>
      <w:pPr>
        <w:numPr>
          <w:ilvl w:val="0"/>
          <w:numId w:val="1018"/>
        </w:numPr>
        <w:pStyle w:val="Compact"/>
      </w:pPr>
      <w:r>
        <w:t xml:space="preserve">⚠️ 采集JSON未提供结构化经济日历，国内PMI、央行公开市场操作及海外宏观数据的具体发布时间和数值均</w:t>
      </w:r>
      <w:r>
        <w:t xml:space="preserve"> </w:t>
      </w:r>
      <w:r>
        <w:rPr>
          <w:b/>
        </w:rPr>
        <w:t xml:space="preserve">未核验</w:t>
      </w:r>
      <w:r>
        <w:t xml:space="preserve">。</w:t>
      </w:r>
    </w:p>
    <w:p>
      <w:pPr>
        <w:numPr>
          <w:ilvl w:val="0"/>
          <w:numId w:val="1018"/>
        </w:numPr>
        <w:pStyle w:val="Compact"/>
      </w:pPr>
      <w:r>
        <w:t xml:space="preserve">📌 可确认的市场节点：8月31日为月末交易日；华泰补充文本提示关注中报披露、月末调仓与MSCI季度调整，但未由本地结构化源交叉验证，只作为风险提醒，不写具体纳入名单。</w:t>
      </w:r>
    </w:p>
    <w:p>
      <w:pPr>
        <w:numPr>
          <w:ilvl w:val="0"/>
          <w:numId w:val="1018"/>
        </w:numPr>
        <w:pStyle w:val="Compact"/>
      </w:pPr>
      <w:r>
        <w:t xml:space="preserve">💡 盘中若出现宏观数据或政策发布，以官方原文和交易所公告为准；在确认前不预设结果交易。</w:t>
      </w:r>
    </w:p>
    <w:p>
      <w:r>
        <w:pict>
          <v:rect style="width:0;height:1.5pt" o:hralign="center" o:hrstd="t" o:hr="t"/>
        </w:pict>
      </w:r>
    </w:p>
    <w:p>
      <w:pPr>
        <w:pStyle w:val="Heading2"/>
      </w:pPr>
      <w:bookmarkStart w:id="41" w:name="全球重要事件"/>
      <w:r>
        <w:t xml:space="preserve">🌍 全球重要事件</w:t>
      </w:r>
      <w:bookmarkEnd w:id="41"/>
    </w:p>
    <w:p>
      <w:pPr>
        <w:numPr>
          <w:ilvl w:val="0"/>
          <w:numId w:val="1019"/>
        </w:numPr>
        <w:pStyle w:val="Compact"/>
      </w:pPr>
      <w:r>
        <w:t xml:space="preserve">🌍 上海合作组织峰会：关注中吉乌铁路、区域贸易和能源合作是否形成明确项目清单。</w:t>
      </w:r>
    </w:p>
    <w:p>
      <w:pPr>
        <w:numPr>
          <w:ilvl w:val="0"/>
          <w:numId w:val="1019"/>
        </w:numPr>
        <w:pStyle w:val="Compact"/>
      </w:pPr>
      <w:r>
        <w:t xml:space="preserve">🛢️ 霍尔木兹海峡：央视报道伊朗称在美国履行承诺前不会重开海峡；WTI原油盘前涨</w:t>
      </w:r>
      <w:r>
        <w:t xml:space="preserve"> </w:t>
      </w:r>
      <w:r>
        <w:rPr>
          <w:b/>
        </w:rPr>
        <w:t xml:space="preserve">1.15%</w:t>
      </w:r>
      <w:r>
        <w:t xml:space="preserve">，能源链存在事件驱动，但高波动下不追涨。</w:t>
      </w:r>
    </w:p>
    <w:p>
      <w:pPr>
        <w:numPr>
          <w:ilvl w:val="0"/>
          <w:numId w:val="1019"/>
        </w:numPr>
        <w:pStyle w:val="Compact"/>
      </w:pPr>
      <w:r>
        <w:t xml:space="preserve">⚠️ 俄乌冲突：基辅州军火仓库遇袭并发生连环爆炸，风险在于冲突升级压制全球风险偏好并扰动能源价格。</w:t>
      </w:r>
    </w:p>
    <w:p>
      <w:pPr>
        <w:numPr>
          <w:ilvl w:val="0"/>
          <w:numId w:val="1019"/>
        </w:numPr>
        <w:pStyle w:val="Compact"/>
      </w:pPr>
      <w:r>
        <w:t xml:space="preserve">🔥 欧洲天然气：央视引述英媒称欧盟天然气储备为</w:t>
      </w:r>
      <w:r>
        <w:t xml:space="preserve"> </w:t>
      </w:r>
      <w:r>
        <w:rPr>
          <w:b/>
        </w:rPr>
        <w:t xml:space="preserve">63%</w:t>
      </w:r>
      <w:r>
        <w:t xml:space="preserve">，低于往年同期</w:t>
      </w:r>
      <w:r>
        <w:t xml:space="preserve"> </w:t>
      </w:r>
      <w:r>
        <w:rPr>
          <w:b/>
        </w:rPr>
        <w:t xml:space="preserve">80%</w:t>
      </w:r>
      <w:r>
        <w:t xml:space="preserve"> </w:t>
      </w:r>
      <w:r>
        <w:t xml:space="preserve">的平均水平，利好天然气供应与储运关注，但需商品价格和A股资金验证。</w:t>
      </w:r>
    </w:p>
    <w:p>
      <w:pPr>
        <w:numPr>
          <w:ilvl w:val="0"/>
          <w:numId w:val="1019"/>
        </w:numPr>
        <w:pStyle w:val="Compact"/>
      </w:pPr>
      <w:r>
        <w:t xml:space="preserve">🤖 人形机器人：中国与塞尔维亚合作工厂启动量产，属于产业出海催化；具体A股供应链尚未由采集数据确认。</w:t>
      </w:r>
    </w:p>
    <w:p>
      <w:r>
        <w:pict>
          <v:rect style="width:0;height:1.5pt" o:hralign="center" o:hrstd="t" o:hr="t"/>
        </w:pict>
      </w:r>
    </w:p>
    <w:p>
      <w:pPr>
        <w:pStyle w:val="Heading2"/>
      </w:pPr>
      <w:bookmarkStart w:id="42" w:name="昨日复盘要点"/>
      <w:r>
        <w:t xml:space="preserve">📊 昨日复盘要点</w:t>
      </w:r>
      <w:bookmarkEnd w:id="42"/>
    </w:p>
    <w:p>
      <w:pPr>
        <w:numPr>
          <w:ilvl w:val="0"/>
          <w:numId w:val="1020"/>
        </w:numPr>
        <w:pStyle w:val="Compact"/>
      </w:pPr>
      <w:r>
        <w:t xml:space="preserve">📉 上证指数</w:t>
      </w:r>
      <w:r>
        <w:t xml:space="preserve"> </w:t>
      </w:r>
      <w:r>
        <w:rPr>
          <w:b/>
        </w:rPr>
        <w:t xml:space="preserve">3952.179点，跌0.111%</w:t>
      </w:r>
      <w:r>
        <w:t xml:space="preserve">；深证成指</w:t>
      </w:r>
      <w:r>
        <w:t xml:space="preserve"> </w:t>
      </w:r>
      <w:r>
        <w:rPr>
          <w:b/>
        </w:rPr>
        <w:t xml:space="preserve">13953.065点，跌0.682%</w:t>
      </w:r>
      <w:r>
        <w:t xml:space="preserve">；创业板指</w:t>
      </w:r>
      <w:r>
        <w:t xml:space="preserve"> </w:t>
      </w:r>
      <w:r>
        <w:rPr>
          <w:b/>
        </w:rPr>
        <w:t xml:space="preserve">3424.401点，跌1.4094%</w:t>
      </w:r>
      <w:r>
        <w:t xml:space="preserve">；科创50跌</w:t>
      </w:r>
      <w:r>
        <w:t xml:space="preserve"> </w:t>
      </w:r>
      <w:r>
        <w:rPr>
          <w:b/>
        </w:rPr>
        <w:t xml:space="preserve">1.8501%</w:t>
      </w:r>
      <w:r>
        <w:t xml:space="preserve">，成长端压力更大。</w:t>
      </w:r>
    </w:p>
    <w:p>
      <w:pPr>
        <w:numPr>
          <w:ilvl w:val="0"/>
          <w:numId w:val="1020"/>
        </w:numPr>
        <w:pStyle w:val="Compact"/>
      </w:pPr>
      <w:r>
        <w:t xml:space="preserve">📊 三源指数校验一致，点位与涨跌幅状态均为</w:t>
      </w:r>
      <w:r>
        <w:t xml:space="preserve"> </w:t>
      </w:r>
      <w:r>
        <w:rPr>
          <w:rStyle w:val="VerbatimChar"/>
        </w:rPr>
        <w:t xml:space="preserve">ok</w:t>
      </w:r>
      <w:r>
        <w:t xml:space="preserve">；指数事实可信度高。</w:t>
      </w:r>
    </w:p>
    <w:p>
      <w:pPr>
        <w:numPr>
          <w:ilvl w:val="0"/>
          <w:numId w:val="1020"/>
        </w:numPr>
        <w:pStyle w:val="Compact"/>
      </w:pPr>
      <w:r>
        <w:t xml:space="preserve">📈 同花顺单源显示上涨</w:t>
      </w:r>
      <w:r>
        <w:t xml:space="preserve"> </w:t>
      </w:r>
      <w:r>
        <w:rPr>
          <w:b/>
        </w:rPr>
        <w:t xml:space="preserve">3013家</w:t>
      </w:r>
      <w:r>
        <w:t xml:space="preserve">、下跌</w:t>
      </w:r>
      <w:r>
        <w:t xml:space="preserve"> </w:t>
      </w:r>
      <w:r>
        <w:rPr>
          <w:b/>
        </w:rPr>
        <w:t xml:space="preserve">2390家</w:t>
      </w:r>
      <w:r>
        <w:t xml:space="preserve">、平盘</w:t>
      </w:r>
      <w:r>
        <w:t xml:space="preserve"> </w:t>
      </w:r>
      <w:r>
        <w:rPr>
          <w:b/>
        </w:rPr>
        <w:t xml:space="preserve">144家</w:t>
      </w:r>
      <w:r>
        <w:t xml:space="preserve">，涨停</w:t>
      </w:r>
      <w:r>
        <w:t xml:space="preserve"> </w:t>
      </w:r>
      <w:r>
        <w:rPr>
          <w:b/>
        </w:rPr>
        <w:t xml:space="preserve">82家</w:t>
      </w:r>
      <w:r>
        <w:t xml:space="preserve">、跌停</w:t>
      </w:r>
      <w:r>
        <w:t xml:space="preserve"> </w:t>
      </w:r>
      <w:r>
        <w:rPr>
          <w:b/>
        </w:rPr>
        <w:t xml:space="preserve">2家</w:t>
      </w:r>
      <w:r>
        <w:t xml:space="preserve">，指数下跌但个股宽度仍偏正，体现结构性分化。</w:t>
      </w:r>
    </w:p>
    <w:p>
      <w:pPr>
        <w:numPr>
          <w:ilvl w:val="0"/>
          <w:numId w:val="1020"/>
        </w:numPr>
        <w:pStyle w:val="Compact"/>
      </w:pPr>
      <w:r>
        <w:t xml:space="preserve">💰 同花顺单源全市场成交额</w:t>
      </w:r>
      <w:r>
        <w:t xml:space="preserve"> </w:t>
      </w:r>
      <w:r>
        <w:rPr>
          <w:b/>
        </w:rPr>
        <w:t xml:space="preserve">21177.32亿元</w:t>
      </w:r>
      <w:r>
        <w:t xml:space="preserve">；比较口径为</w:t>
      </w:r>
      <w:r>
        <w:t xml:space="preserve"> </w:t>
      </w:r>
      <w:r>
        <w:rPr>
          <w:rStyle w:val="VerbatimChar"/>
        </w:rPr>
        <w:t xml:space="preserve">unverified</w:t>
      </w:r>
      <w:r>
        <w:t xml:space="preserve">，因此只引用原始金额，不使用成交额变化百分比。</w:t>
      </w:r>
    </w:p>
    <w:p>
      <w:pPr>
        <w:numPr>
          <w:ilvl w:val="0"/>
          <w:numId w:val="1020"/>
        </w:numPr>
        <w:pStyle w:val="Compact"/>
      </w:pPr>
      <w:r>
        <w:t xml:space="preserve">⚠️ 资金流、板块表现、活跃个股及涨跌停明细采集失败，无法确认昨日真正的资金主攻与撤退方向，也不能生成真实资金流入/流出TOP10。</w:t>
      </w:r>
    </w:p>
    <w:p>
      <w:pPr>
        <w:numPr>
          <w:ilvl w:val="0"/>
          <w:numId w:val="1020"/>
        </w:numPr>
        <w:pStyle w:val="Compact"/>
      </w:pPr>
      <w:r>
        <w:t xml:space="preserve">📌 派生市场风格为</w:t>
      </w:r>
      <w:r>
        <w:t xml:space="preserve"> </w:t>
      </w:r>
      <w:r>
        <w:rPr>
          <w:b/>
        </w:rPr>
        <w:t xml:space="preserve">震荡/均衡</w:t>
      </w:r>
      <w:r>
        <w:t xml:space="preserve">；仓位模型：激进</w:t>
      </w:r>
      <w:r>
        <w:t xml:space="preserve"> </w:t>
      </w:r>
      <w:r>
        <w:rPr>
          <w:b/>
        </w:rPr>
        <w:t xml:space="preserve">60%</w:t>
      </w:r>
      <w:r>
        <w:t xml:space="preserve">、均衡</w:t>
      </w:r>
      <w:r>
        <w:t xml:space="preserve"> </w:t>
      </w:r>
      <w:r>
        <w:rPr>
          <w:b/>
        </w:rPr>
        <w:t xml:space="preserve">45%</w:t>
      </w:r>
      <w:r>
        <w:t xml:space="preserve">、保守</w:t>
      </w:r>
      <w:r>
        <w:t xml:space="preserve"> </w:t>
      </w:r>
      <w:r>
        <w:rPr>
          <w:b/>
        </w:rPr>
        <w:t xml:space="preserve">30%</w:t>
      </w:r>
      <w:r>
        <w:t xml:space="preserve">，最高仓位</w:t>
      </w:r>
      <w:r>
        <w:t xml:space="preserve"> </w:t>
      </w:r>
      <w:r>
        <w:rPr>
          <w:b/>
        </w:rPr>
        <w:t xml:space="preserve">60%</w:t>
      </w:r>
      <w:r>
        <w:t xml:space="preserve">。</w:t>
      </w:r>
    </w:p>
    <w:p>
      <w:r>
        <w:pict>
          <v:rect style="width:0;height:1.5pt" o:hralign="center" o:hrstd="t" o:hr="t"/>
        </w:pict>
      </w:r>
    </w:p>
    <w:p>
      <w:pPr>
        <w:pStyle w:val="Heading2"/>
      </w:pPr>
      <w:bookmarkStart w:id="43" w:name="资金流向与数据缺口"/>
      <w:r>
        <w:t xml:space="preserve">💰 资金流向与数据缺口</w:t>
      </w:r>
      <w:bookmarkEnd w:id="43"/>
    </w:p>
    <w:p>
      <w:pPr>
        <w:numPr>
          <w:ilvl w:val="0"/>
          <w:numId w:val="1021"/>
        </w:numPr>
        <w:pStyle w:val="Compact"/>
      </w:pPr>
      <w:r>
        <w:t xml:space="preserve">💰 资金流入TOP10：</w:t>
      </w:r>
      <w:r>
        <w:rPr>
          <w:b/>
        </w:rPr>
        <w:t xml:space="preserve">未核验</w:t>
      </w:r>
      <w:r>
        <w:t xml:space="preserve">。东方财富资金流接口返回</w:t>
      </w:r>
      <w:r>
        <w:t xml:space="preserve"> </w:t>
      </w:r>
      <w:r>
        <w:rPr>
          <w:b/>
        </w:rPr>
        <w:t xml:space="preserve">HTTP 502</w:t>
      </w:r>
      <w:r>
        <w:t xml:space="preserve">，采集JSON没有可用榜单，禁止自行补齐金额或板块。</w:t>
      </w:r>
    </w:p>
    <w:p>
      <w:pPr>
        <w:numPr>
          <w:ilvl w:val="0"/>
          <w:numId w:val="1021"/>
        </w:numPr>
        <w:pStyle w:val="Compact"/>
      </w:pPr>
      <w:r>
        <w:t xml:space="preserve">⚠️ 资金流出TOP10：</w:t>
      </w:r>
      <w:r>
        <w:rPr>
          <w:b/>
        </w:rPr>
        <w:t xml:space="preserve">未核验</w:t>
      </w:r>
      <w:r>
        <w:t xml:space="preserve">。同一来源失败，采集JSON没有真实流出榜单。</w:t>
      </w:r>
    </w:p>
    <w:p>
      <w:pPr>
        <w:numPr>
          <w:ilvl w:val="0"/>
          <w:numId w:val="1021"/>
        </w:numPr>
        <w:pStyle w:val="Compact"/>
      </w:pPr>
      <w:r>
        <w:t xml:space="preserve">📉 板块涨跌、板块成交额、活跃个股、涨跌停样本：均未核验。</w:t>
      </w:r>
    </w:p>
    <w:p>
      <w:pPr>
        <w:numPr>
          <w:ilvl w:val="0"/>
          <w:numId w:val="1021"/>
        </w:numPr>
        <w:pStyle w:val="Compact"/>
      </w:pPr>
      <w:r>
        <w:t xml:space="preserve">💡 因资金与板块证据链缺失，今日所有方向均采用</w:t>
      </w:r>
      <w:r>
        <w:t xml:space="preserve">“</w:t>
      </w:r>
      <w:r>
        <w:t xml:space="preserve">事件/政策预案</w:t>
      </w:r>
      <w:r>
        <w:t xml:space="preserve">”</w:t>
      </w:r>
      <w:r>
        <w:t xml:space="preserve">，必须等待开盘后板块资金、成交和核心标的走势验证，不能按确定主线执行。</w:t>
      </w:r>
    </w:p>
    <w:p>
      <w:r>
        <w:pict>
          <v:rect style="width:0;height:1.5pt" o:hralign="center" o:hrstd="t" o:hr="t"/>
        </w:pict>
      </w:r>
    </w:p>
    <w:p>
      <w:pPr>
        <w:pStyle w:val="Heading2"/>
      </w:pPr>
      <w:bookmarkStart w:id="44" w:name="今日操作策略"/>
      <w:r>
        <w:t xml:space="preserve">🎯 今日操作策略</w:t>
      </w:r>
      <w:bookmarkEnd w:id="44"/>
    </w:p>
    <w:p>
      <w:pPr>
        <w:numPr>
          <w:ilvl w:val="0"/>
          <w:numId w:val="1022"/>
        </w:numPr>
        <w:pStyle w:val="Compact"/>
      </w:pPr>
      <w:r>
        <w:t xml:space="preserve">📊 市场预判：</w:t>
      </w:r>
      <w:r>
        <w:rPr>
          <w:b/>
        </w:rPr>
        <w:t xml:space="preserve">震荡、结构分化</w:t>
      </w:r>
      <w:r>
        <w:t xml:space="preserve">。A50跌0.32%，上一交易日成长指数弱于沪指，但上涨家数多于下跌家数；不支持全面看空，也不支持开盘满仓追科技。</w:t>
      </w:r>
    </w:p>
    <w:p>
      <w:pPr>
        <w:numPr>
          <w:ilvl w:val="0"/>
          <w:numId w:val="1022"/>
        </w:numPr>
        <w:pStyle w:val="Compact"/>
      </w:pPr>
      <w:r>
        <w:t xml:space="preserve">💡 激进型：总仓不高于</w:t>
      </w:r>
      <w:r>
        <w:t xml:space="preserve"> </w:t>
      </w:r>
      <w:r>
        <w:rPr>
          <w:b/>
        </w:rPr>
        <w:t xml:space="preserve">60%</w:t>
      </w:r>
      <w:r>
        <w:t xml:space="preserve">，首笔只做政策方向中最先获得板块放量与核心标的承接验证的一条线；单一方向避免一次性打满。</w:t>
      </w:r>
    </w:p>
    <w:p>
      <w:pPr>
        <w:numPr>
          <w:ilvl w:val="0"/>
          <w:numId w:val="1022"/>
        </w:numPr>
        <w:pStyle w:val="Compact"/>
      </w:pPr>
      <w:r>
        <w:t xml:space="preserve">💡 稳健型：总仓参考</w:t>
      </w:r>
      <w:r>
        <w:t xml:space="preserve"> </w:t>
      </w:r>
      <w:r>
        <w:rPr>
          <w:b/>
        </w:rPr>
        <w:t xml:space="preserve">45%</w:t>
      </w:r>
      <w:r>
        <w:t xml:space="preserve">，优先保留银行等低波动底仓，数据要素、绿电算力和农业科技只在回踩企稳后分批跟踪。</w:t>
      </w:r>
    </w:p>
    <w:p>
      <w:pPr>
        <w:numPr>
          <w:ilvl w:val="0"/>
          <w:numId w:val="1022"/>
        </w:numPr>
        <w:pStyle w:val="Compact"/>
      </w:pPr>
      <w:r>
        <w:t xml:space="preserve">💡 保守型：总仓参考</w:t>
      </w:r>
      <w:r>
        <w:t xml:space="preserve"> </w:t>
      </w:r>
      <w:r>
        <w:rPr>
          <w:b/>
        </w:rPr>
        <w:t xml:space="preserve">30%</w:t>
      </w:r>
      <w:r>
        <w:t xml:space="preserve">，等待指数止跌、板块资金转强及公告排雷后再行动。</w:t>
      </w:r>
    </w:p>
    <w:p>
      <w:pPr>
        <w:numPr>
          <w:ilvl w:val="0"/>
          <w:numId w:val="1022"/>
        </w:numPr>
        <w:pStyle w:val="Compact"/>
      </w:pPr>
      <w:r>
        <w:t xml:space="preserve">🚫 回避：无公告核验的业绩高风险股、纯消息高开、无板块扩散的小票脉冲，以及开盘即大幅偏离前收的事件题材。</w:t>
      </w:r>
    </w:p>
    <w:p>
      <w:pPr>
        <w:numPr>
          <w:ilvl w:val="0"/>
          <w:numId w:val="1022"/>
        </w:numPr>
        <w:pStyle w:val="Compact"/>
      </w:pPr>
      <w:r>
        <w:t xml:space="preserve">⚠️ 关键风险：公告源缺失、资金榜单缺失、月末调仓扰动、A50偏弱、原油事件波动和成长股估值压力。</w:t>
      </w:r>
    </w:p>
    <w:p>
      <w:r>
        <w:pict>
          <v:rect style="width:0;height:1.5pt" o:hralign="center" o:hrstd="t" o:hr="t"/>
        </w:pict>
      </w:r>
    </w:p>
    <w:p>
      <w:pPr>
        <w:pStyle w:val="Heading2"/>
      </w:pPr>
      <w:bookmarkStart w:id="45" w:name="今日重点投资方向"/>
      <w:r>
        <w:t xml:space="preserve">🎯 今日重点投资方向</w:t>
      </w:r>
      <w:bookmarkEnd w:id="45"/>
    </w:p>
    <w:p>
      <w:pPr>
        <w:pStyle w:val="Heading3"/>
      </w:pPr>
      <w:bookmarkStart w:id="46" w:name="方向一数据要素数据标注ai训练数据优先级高但待盘面验证"/>
      <w:r>
        <w:t xml:space="preserve">方向一：数据要素—数据标注/AI训练数据（优先级：高，但待盘面验证）</w:t>
      </w:r>
      <w:bookmarkEnd w:id="46"/>
    </w:p>
    <w:p>
      <w:pPr>
        <w:numPr>
          <w:ilvl w:val="0"/>
          <w:numId w:val="1023"/>
        </w:numPr>
        <w:pStyle w:val="Compact"/>
      </w:pPr>
      <w:r>
        <w:t xml:space="preserve">📌 证据链：央视确认</w:t>
      </w:r>
      <w:r>
        <w:t xml:space="preserve"> </w:t>
      </w:r>
      <w:r>
        <w:rPr>
          <w:b/>
        </w:rPr>
        <w:t xml:space="preserve">32个城市</w:t>
      </w:r>
      <w:r>
        <w:t xml:space="preserve">启动新一批数据标注先行先试；</w:t>
      </w:r>
      <w:r>
        <w:rPr>
          <w:b/>
        </w:rPr>
        <w:t xml:space="preserve">14家央国企开放超60亿条</w:t>
      </w:r>
      <w:r>
        <w:t xml:space="preserve">高价值数据；我国数据产业规模已超</w:t>
      </w:r>
      <w:r>
        <w:t xml:space="preserve"> </w:t>
      </w:r>
      <w:r>
        <w:rPr>
          <w:b/>
        </w:rPr>
        <w:t xml:space="preserve">6万亿元</w:t>
      </w:r>
      <w:r>
        <w:t xml:space="preserve">，与AI高度相关的产品和服务占总产值七成以上。</w:t>
      </w:r>
    </w:p>
    <w:p>
      <w:pPr>
        <w:numPr>
          <w:ilvl w:val="0"/>
          <w:numId w:val="1023"/>
        </w:numPr>
        <w:pStyle w:val="Compact"/>
      </w:pPr>
      <w:r>
        <w:t xml:space="preserve">⚠️ 证据缺口：板块涨幅、主力净流入、成交额和涨停扩散均未核验，当前只能列为政策优先观察方向。</w:t>
      </w:r>
    </w:p>
    <w:p>
      <w:pPr>
        <w:numPr>
          <w:ilvl w:val="0"/>
          <w:numId w:val="1023"/>
        </w:numPr>
        <w:pStyle w:val="Compact"/>
      </w:pPr>
      <w:r>
        <w:t xml:space="preserve">🔥 核心标的：风语筑（603466，华泰自选股，最新可得11.15元、涨0.54%，可观察数字内容与数据应用映射）；启明信息（002232，来自华泰盘前筛选，仅作候选，行情未交叉验证）；数据标注及数据要素龙头需开盘后从真实资金与成交中确认。</w:t>
      </w:r>
    </w:p>
    <w:p>
      <w:pPr>
        <w:numPr>
          <w:ilvl w:val="0"/>
          <w:numId w:val="1023"/>
        </w:numPr>
        <w:pStyle w:val="Compact"/>
      </w:pPr>
      <w:r>
        <w:t xml:space="preserve">💡 参与策略：激进者只做板块放量后最强承接；稳健者等待首轮分歧后回踩不破开盘区间；保守者不在资金数据缺失时主动开仓。</w:t>
      </w:r>
    </w:p>
    <w:p>
      <w:pPr>
        <w:numPr>
          <w:ilvl w:val="0"/>
          <w:numId w:val="1023"/>
        </w:numPr>
        <w:pStyle w:val="Compact"/>
      </w:pPr>
      <w:r>
        <w:t xml:space="preserve">✅ 触发条件：板块指数走强、成交放大、至少两只高辨识度标的同步转强，且风语筑不出现高开低走。</w:t>
      </w:r>
    </w:p>
    <w:p>
      <w:pPr>
        <w:numPr>
          <w:ilvl w:val="0"/>
          <w:numId w:val="1023"/>
        </w:numPr>
        <w:pStyle w:val="Compact"/>
      </w:pPr>
      <w:r>
        <w:t xml:space="preserve">🚫 失效条件：板块冲高回落、核心标的跌破开盘价后无法收复，或公告核验出现业绩/监管风险。</w:t>
      </w:r>
    </w:p>
    <w:p>
      <w:pPr>
        <w:numPr>
          <w:ilvl w:val="0"/>
          <w:numId w:val="1023"/>
        </w:numPr>
        <w:pStyle w:val="Compact"/>
      </w:pPr>
      <w:r>
        <w:t xml:space="preserve">⚠️ 风险：政策映射过度、商业模式兑现慢、题材高开兑现及华泰候选股缺少本地多源校验。</w:t>
      </w:r>
    </w:p>
    <w:p>
      <w:pPr>
        <w:pStyle w:val="Heading3"/>
      </w:pPr>
      <w:bookmarkStart w:id="47" w:name="方向二绿电直连储能算力中心优先级中高"/>
      <w:r>
        <w:t xml:space="preserve">方向二：绿电直连—储能—算力中心（优先级：中高）</w:t>
      </w:r>
      <w:bookmarkEnd w:id="47"/>
    </w:p>
    <w:p>
      <w:pPr>
        <w:numPr>
          <w:ilvl w:val="0"/>
          <w:numId w:val="1024"/>
        </w:numPr>
        <w:pStyle w:val="Compact"/>
      </w:pPr>
      <w:r>
        <w:t xml:space="preserve">📌 证据链：内蒙古明确推广绿电直连、建设智能调度与储能系统；计划每年新增新能源装机</w:t>
      </w:r>
      <w:r>
        <w:t xml:space="preserve"> </w:t>
      </w:r>
      <w:r>
        <w:rPr>
          <w:b/>
        </w:rPr>
        <w:t xml:space="preserve">3000万千瓦以上</w:t>
      </w:r>
      <w:r>
        <w:t xml:space="preserve">，2030年新能源总装机达到</w:t>
      </w:r>
      <w:r>
        <w:t xml:space="preserve"> </w:t>
      </w:r>
      <w:r>
        <w:rPr>
          <w:b/>
        </w:rPr>
        <w:t xml:space="preserve">3.25亿千瓦</w:t>
      </w:r>
      <w:r>
        <w:t xml:space="preserve">；绿电就地供给算力中心形成</w:t>
      </w:r>
      <w:r>
        <w:t xml:space="preserve">“</w:t>
      </w:r>
      <w:r>
        <w:t xml:space="preserve">电源—储能—算力</w:t>
      </w:r>
      <w:r>
        <w:t xml:space="preserve">”</w:t>
      </w:r>
      <w:r>
        <w:t xml:space="preserve">闭环。</w:t>
      </w:r>
    </w:p>
    <w:p>
      <w:pPr>
        <w:numPr>
          <w:ilvl w:val="0"/>
          <w:numId w:val="1024"/>
        </w:numPr>
        <w:pStyle w:val="Compact"/>
      </w:pPr>
      <w:r>
        <w:t xml:space="preserve">⚠️ 证据缺口：昨日光伏、储能和算力板块资金及涨跌榜单缺失，弘元绿能仅有华泰单源行情。</w:t>
      </w:r>
    </w:p>
    <w:p>
      <w:pPr>
        <w:numPr>
          <w:ilvl w:val="0"/>
          <w:numId w:val="1024"/>
        </w:numPr>
        <w:pStyle w:val="Compact"/>
      </w:pPr>
      <w:r>
        <w:t xml:space="preserve">🔥 核心标的：弘元绿能（603185，光伏制造链，最新可得16.20元、涨0.31%，与绿电主题有板块关系但不等同于绿电直连核心受益）；英维克、亨通光电（来自华泰文本方向，仅作产业链观察，具体行情未核验）。</w:t>
      </w:r>
    </w:p>
    <w:p>
      <w:pPr>
        <w:numPr>
          <w:ilvl w:val="0"/>
          <w:numId w:val="1024"/>
        </w:numPr>
        <w:pStyle w:val="Compact"/>
      </w:pPr>
      <w:r>
        <w:t xml:space="preserve">💡 参与策略：激进者优先看储能/绿电直连中率先放量品种；稳健者等待板块站稳后再做回踩；弘元绿能深套持仓不以政策新闻为由无条件补仓。</w:t>
      </w:r>
    </w:p>
    <w:p>
      <w:pPr>
        <w:numPr>
          <w:ilvl w:val="0"/>
          <w:numId w:val="1024"/>
        </w:numPr>
        <w:pStyle w:val="Compact"/>
      </w:pPr>
      <w:r>
        <w:t xml:space="preserve">✅ 触发条件：绿电、储能和算力基础设施至少两条分支共振，板块成交放大，弘元绿能站稳16.20元并出现持续买盘。</w:t>
      </w:r>
    </w:p>
    <w:p>
      <w:pPr>
        <w:numPr>
          <w:ilvl w:val="0"/>
          <w:numId w:val="1024"/>
        </w:numPr>
        <w:pStyle w:val="Compact"/>
      </w:pPr>
      <w:r>
        <w:t xml:space="preserve">🚫 失效条件：板块无扩散、弘元绿能跌破16.15元后不能收回，或题材仅高开无成交承接。</w:t>
      </w:r>
    </w:p>
    <w:p>
      <w:pPr>
        <w:numPr>
          <w:ilvl w:val="0"/>
          <w:numId w:val="1024"/>
        </w:numPr>
        <w:pStyle w:val="Compact"/>
      </w:pPr>
      <w:r>
        <w:t xml:space="preserve">⚠️ 风险：光伏制造仍可能受供需和盈利压力影响，主题利好不等同于个股基本面反转。</w:t>
      </w:r>
    </w:p>
    <w:p>
      <w:pPr>
        <w:pStyle w:val="Heading3"/>
      </w:pPr>
      <w:bookmarkStart w:id="48" w:name="方向三智慧农业植保无人机农业监测优先级观察"/>
      <w:r>
        <w:t xml:space="preserve">方向三：智慧农业—植保无人机/农业监测（优先级：观察）</w:t>
      </w:r>
      <w:bookmarkEnd w:id="48"/>
    </w:p>
    <w:p>
      <w:pPr>
        <w:numPr>
          <w:ilvl w:val="0"/>
          <w:numId w:val="1025"/>
        </w:numPr>
        <w:pStyle w:val="Compact"/>
      </w:pPr>
      <w:r>
        <w:t xml:space="preserve">📌 证据链：央视报道植保无人机、毫米波雷达和土壤监测用于秋粮田管；全国已有</w:t>
      </w:r>
      <w:r>
        <w:t xml:space="preserve"> </w:t>
      </w:r>
      <w:r>
        <w:rPr>
          <w:b/>
        </w:rPr>
        <w:t xml:space="preserve">65部</w:t>
      </w:r>
      <w:r>
        <w:t xml:space="preserve">昆虫雷达接入国家平台，预计2030年突破</w:t>
      </w:r>
      <w:r>
        <w:t xml:space="preserve"> </w:t>
      </w:r>
      <w:r>
        <w:rPr>
          <w:b/>
        </w:rPr>
        <w:t xml:space="preserve">150部</w:t>
      </w:r>
      <w:r>
        <w:t xml:space="preserve">；农业农村部规划到2030年建成</w:t>
      </w:r>
      <w:r>
        <w:t xml:space="preserve"> </w:t>
      </w:r>
      <w:r>
        <w:rPr>
          <w:b/>
        </w:rPr>
        <w:t xml:space="preserve">50个</w:t>
      </w:r>
      <w:r>
        <w:t xml:space="preserve">农产品产地市场集群。</w:t>
      </w:r>
    </w:p>
    <w:p>
      <w:pPr>
        <w:numPr>
          <w:ilvl w:val="0"/>
          <w:numId w:val="1025"/>
        </w:numPr>
        <w:pStyle w:val="Compact"/>
      </w:pPr>
      <w:r>
        <w:t xml:space="preserve">⚠️ 证据缺口：农业板块资金、成交额、活跃股及涨停样本均未核验，暂不具备高置信度交易证据链。</w:t>
      </w:r>
    </w:p>
    <w:p>
      <w:pPr>
        <w:numPr>
          <w:ilvl w:val="0"/>
          <w:numId w:val="1025"/>
        </w:numPr>
        <w:pStyle w:val="Compact"/>
      </w:pPr>
      <w:r>
        <w:t xml:space="preserve">🔥 核心标的：万向德农、敦煌种业（来自华泰文本防御备选，仅作候选，具体行情与资金未核验）；农业无人机和雷达设备供应商须以正式订单和盘面辨识度筛选。</w:t>
      </w:r>
    </w:p>
    <w:p>
      <w:pPr>
        <w:numPr>
          <w:ilvl w:val="0"/>
          <w:numId w:val="1025"/>
        </w:numPr>
        <w:pStyle w:val="Compact"/>
      </w:pPr>
      <w:r>
        <w:t xml:space="preserve">💡 参与策略：激进者只观察首板或放量突破的真实强者；稳健者等待农业板块资金连续流入；保守者暂不参与。</w:t>
      </w:r>
    </w:p>
    <w:p>
      <w:pPr>
        <w:numPr>
          <w:ilvl w:val="0"/>
          <w:numId w:val="1025"/>
        </w:numPr>
        <w:pStyle w:val="Compact"/>
      </w:pPr>
      <w:r>
        <w:t xml:space="preserve">✅ 触发条件：科技成长继续承压时农业获得防御资金，且智慧农业细分强于传统种植板块。</w:t>
      </w:r>
    </w:p>
    <w:p>
      <w:pPr>
        <w:numPr>
          <w:ilvl w:val="0"/>
          <w:numId w:val="1025"/>
        </w:numPr>
        <w:pStyle w:val="Compact"/>
      </w:pPr>
      <w:r>
        <w:t xml:space="preserve">🚫 失效条件：板块无资金承接、只有个别小票脉冲，或核心标的高开低走。</w:t>
      </w:r>
    </w:p>
    <w:p>
      <w:pPr>
        <w:numPr>
          <w:ilvl w:val="0"/>
          <w:numId w:val="1025"/>
        </w:numPr>
        <w:pStyle w:val="Compact"/>
      </w:pPr>
      <w:r>
        <w:t xml:space="preserve">⚠️ 风险：政策周期长、设备订单不确定、题材与上市公司收入映射不足。</w:t>
      </w:r>
    </w:p>
    <w:p>
      <w:r>
        <w:pict>
          <v:rect style="width:0;height:1.5pt" o:hralign="center" o:hrstd="t" o:hr="t"/>
        </w:pict>
      </w:r>
    </w:p>
    <w:p>
      <w:pPr>
        <w:pStyle w:val="Heading2"/>
      </w:pPr>
      <w:bookmarkStart w:id="49" w:name="华泰自选股观察"/>
      <w:r>
        <w:t xml:space="preserve">🧾 华泰自选股观察</w:t>
      </w:r>
      <w:bookmarkEnd w:id="49"/>
    </w:p>
    <w:p>
      <w:pPr>
        <w:pStyle w:val="FirstParagraph"/>
      </w:pPr>
      <w:r>
        <w:t xml:space="preserve">自选股共3只，华泰模拟行情全部返回成功，但未取得新浪/东方财富/腾讯个股交叉校验。工商银行偏防御，风语筑与数据产业政策存在一定共振，弘元绿能与绿电方向有板块关系但产业环节并非完全一致；未形成盘面资金验证前，整体以跟踪为主。</w:t>
      </w:r>
    </w:p>
    <w:p>
      <w:pPr>
        <w:numPr>
          <w:ilvl w:val="0"/>
          <w:numId w:val="1026"/>
        </w:numPr>
        <w:pStyle w:val="Compact"/>
      </w:pPr>
      <w:r>
        <w:t xml:space="preserve">📈</w:t>
      </w:r>
      <w:r>
        <w:t xml:space="preserve"> </w:t>
      </w:r>
      <w:r>
        <w:rPr>
          <w:b/>
        </w:rPr>
        <w:t xml:space="preserve">603185 弘元绿能</w:t>
      </w:r>
      <w:r>
        <w:t xml:space="preserve">：最新可得价</w:t>
      </w:r>
      <w:r>
        <w:t xml:space="preserve"> </w:t>
      </w:r>
      <w:r>
        <w:rPr>
          <w:b/>
        </w:rPr>
        <w:t xml:space="preserve">16.20元</w:t>
      </w:r>
      <w:r>
        <w:t xml:space="preserve">，较前收16.15元上涨</w:t>
      </w:r>
      <w:r>
        <w:t xml:space="preserve"> </w:t>
      </w:r>
      <w:r>
        <w:rPr>
          <w:b/>
        </w:rPr>
        <w:t xml:space="preserve">0.31%</w:t>
      </w:r>
      <w:r>
        <w:t xml:space="preserve">。所属光伏制造/新能源方向，与内蒙古绿电直连和新能源装机政策有间接共振，但公司盈利与供需尚未核验。判断：</w:t>
      </w:r>
      <w:r>
        <w:rPr>
          <w:b/>
        </w:rPr>
        <w:t xml:space="preserve">偏弱修复、继续观察，不追高；持仓不做无条件补仓</w:t>
      </w:r>
      <w:r>
        <w:t xml:space="preserve">。</w:t>
      </w:r>
    </w:p>
    <w:p>
      <w:pPr>
        <w:numPr>
          <w:ilvl w:val="0"/>
          <w:numId w:val="1026"/>
        </w:numPr>
        <w:pStyle w:val="Compact"/>
      </w:pPr>
      <w:r>
        <w:t xml:space="preserve">📈</w:t>
      </w:r>
      <w:r>
        <w:t xml:space="preserve"> </w:t>
      </w:r>
      <w:r>
        <w:rPr>
          <w:b/>
        </w:rPr>
        <w:t xml:space="preserve">603466 风语筑</w:t>
      </w:r>
      <w:r>
        <w:t xml:space="preserve">：最新可得价</w:t>
      </w:r>
      <w:r>
        <w:t xml:space="preserve"> </w:t>
      </w:r>
      <w:r>
        <w:rPr>
          <w:b/>
        </w:rPr>
        <w:t xml:space="preserve">11.15元</w:t>
      </w:r>
      <w:r>
        <w:t xml:space="preserve">，较前收11.09元上涨</w:t>
      </w:r>
      <w:r>
        <w:t xml:space="preserve"> </w:t>
      </w:r>
      <w:r>
        <w:rPr>
          <w:b/>
        </w:rPr>
        <w:t xml:space="preserve">0.54%</w:t>
      </w:r>
      <w:r>
        <w:t xml:space="preserve">。所属数字内容/文化科技方向，可观察其与数据要素、AI应用主线的共振。判断：</w:t>
      </w:r>
      <w:r>
        <w:rPr>
          <w:b/>
        </w:rPr>
        <w:t xml:space="preserve">可低吸跟踪但须等板块放量；跌回前收下方则偏弱</w:t>
      </w:r>
      <w:r>
        <w:t xml:space="preserve">。</w:t>
      </w:r>
    </w:p>
    <w:p>
      <w:pPr>
        <w:numPr>
          <w:ilvl w:val="0"/>
          <w:numId w:val="1026"/>
        </w:numPr>
        <w:pStyle w:val="Compact"/>
      </w:pPr>
      <w:r>
        <w:t xml:space="preserve">📈</w:t>
      </w:r>
      <w:r>
        <w:t xml:space="preserve"> </w:t>
      </w:r>
      <w:r>
        <w:rPr>
          <w:b/>
        </w:rPr>
        <w:t xml:space="preserve">601398 工商银行</w:t>
      </w:r>
      <w:r>
        <w:t xml:space="preserve">：最新可得价</w:t>
      </w:r>
      <w:r>
        <w:t xml:space="preserve"> </w:t>
      </w:r>
      <w:r>
        <w:rPr>
          <w:b/>
        </w:rPr>
        <w:t xml:space="preserve">7.86元</w:t>
      </w:r>
      <w:r>
        <w:t xml:space="preserve">，较前收7.82元上涨</w:t>
      </w:r>
      <w:r>
        <w:t xml:space="preserve"> </w:t>
      </w:r>
      <w:r>
        <w:rPr>
          <w:b/>
        </w:rPr>
        <w:t xml:space="preserve">0.51%</w:t>
      </w:r>
      <w:r>
        <w:t xml:space="preserve">。所属国有大行，主要承担红利防御和指数稳定功能，与数据要素、绿电、农业科技主线无直接共振。判断：</w:t>
      </w:r>
      <w:r>
        <w:rPr>
          <w:b/>
        </w:rPr>
        <w:t xml:space="preserve">偏强防御、继续持有观察；以跟踪为主、暂不作为主攻方向</w:t>
      </w:r>
      <w:r>
        <w:t xml:space="preserve">。</w:t>
      </w:r>
    </w:p>
    <w:p>
      <w:r>
        <w:pict>
          <v:rect style="width:0;height:1.5pt" o:hralign="center" o:hrstd="t" o:hr="t"/>
        </w:pict>
      </w:r>
    </w:p>
    <w:p>
      <w:pPr>
        <w:pStyle w:val="Heading2"/>
      </w:pPr>
      <w:bookmarkStart w:id="50" w:name="用户实盘持仓策略"/>
      <w:r>
        <w:t xml:space="preserve">💼 用户实盘持仓策略</w:t>
      </w:r>
      <w:bookmarkEnd w:id="50"/>
    </w:p>
    <w:p>
      <w:pPr>
        <w:pStyle w:val="BlockText"/>
      </w:pPr>
      <w:r>
        <w:t xml:space="preserve">盈亏按</w:t>
      </w:r>
      <w:r>
        <w:t xml:space="preserve">“</w:t>
      </w:r>
      <w:r>
        <w:t xml:space="preserve">最新可得价/成本价</w:t>
      </w:r>
      <w:r>
        <w:t xml:space="preserve">”</w:t>
      </w:r>
      <w:r>
        <w:t xml:space="preserve">计算，未计佣金、税费和分红。弘元绿能、风语筑、工商银行价格来自华泰单源；农业银行未取得最新行情。K线、量价、公告和技术指标数据不完整，支撑阻力采用已确认前收价与条件式信号，不虚构均线价位。</w:t>
      </w:r>
    </w:p>
    <w:p>
      <w:pPr>
        <w:pStyle w:val="Heading3"/>
      </w:pPr>
      <w:bookmarkStart w:id="51" w:name="弘元绿能300股成本26.6669元"/>
      <w:r>
        <w:t xml:space="preserve">📉 603185 弘元绿能｜300股｜成本26.6669元</w:t>
      </w:r>
      <w:bookmarkEnd w:id="51"/>
    </w:p>
    <w:p>
      <w:pPr>
        <w:numPr>
          <w:ilvl w:val="0"/>
          <w:numId w:val="1027"/>
        </w:numPr>
        <w:pStyle w:val="Compact"/>
      </w:pPr>
      <w:r>
        <w:t xml:space="preserve">📊 最新可得价</w:t>
      </w:r>
      <w:r>
        <w:t xml:space="preserve"> </w:t>
      </w:r>
      <w:r>
        <w:rPr>
          <w:b/>
        </w:rPr>
        <w:t xml:space="preserve">16.20元</w:t>
      </w:r>
      <w:r>
        <w:t xml:space="preserve">，浮亏</w:t>
      </w:r>
      <w:r>
        <w:t xml:space="preserve"> </w:t>
      </w:r>
      <w:r>
        <w:rPr>
          <w:b/>
        </w:rPr>
        <w:t xml:space="preserve">39.25%</w:t>
      </w:r>
      <w:r>
        <w:t xml:space="preserve">，按持股估算浮亏</w:t>
      </w:r>
      <w:r>
        <w:t xml:space="preserve"> </w:t>
      </w:r>
      <w:r>
        <w:rPr>
          <w:b/>
        </w:rPr>
        <w:t xml:space="preserve">3140.07元</w:t>
      </w:r>
      <w:r>
        <w:t xml:space="preserve">。</w:t>
      </w:r>
    </w:p>
    <w:p>
      <w:pPr>
        <w:numPr>
          <w:ilvl w:val="0"/>
          <w:numId w:val="1027"/>
        </w:numPr>
        <w:pStyle w:val="Compact"/>
      </w:pPr>
      <w:r>
        <w:t xml:space="preserve">💡 今日动作：</w:t>
      </w:r>
      <w:r>
        <w:rPr>
          <w:b/>
        </w:rPr>
        <w:t xml:space="preserve">减仓观察</w:t>
      </w:r>
      <w:r>
        <w:t xml:space="preserve">。深套不是补仓理由；政策端只提供绿电主题关联，尚无资金、业绩和量价反转证据。</w:t>
      </w:r>
    </w:p>
    <w:p>
      <w:pPr>
        <w:numPr>
          <w:ilvl w:val="0"/>
          <w:numId w:val="1027"/>
        </w:numPr>
        <w:pStyle w:val="Compact"/>
      </w:pPr>
      <w:r>
        <w:t xml:space="preserve">📉 减仓/离场触发：若跌破前收</w:t>
      </w:r>
      <w:r>
        <w:t xml:space="preserve"> </w:t>
      </w:r>
      <w:r>
        <w:rPr>
          <w:b/>
        </w:rPr>
        <w:t xml:space="preserve">16.15元</w:t>
      </w:r>
      <w:r>
        <w:t xml:space="preserve">且30分钟内不能收回，或光伏板块同步走弱，可先降低一部分仓位；若公告核验出现业绩恶化、减持或监管风险，停止加仓并进一步收缩。</w:t>
      </w:r>
    </w:p>
    <w:p>
      <w:pPr>
        <w:numPr>
          <w:ilvl w:val="0"/>
          <w:numId w:val="1027"/>
        </w:numPr>
        <w:pStyle w:val="Compact"/>
      </w:pPr>
      <w:r>
        <w:t xml:space="preserve">📈 条件加仓：仅在股价站稳</w:t>
      </w:r>
      <w:r>
        <w:t xml:space="preserve"> </w:t>
      </w:r>
      <w:r>
        <w:rPr>
          <w:b/>
        </w:rPr>
        <w:t xml:space="preserve">16.20元</w:t>
      </w:r>
      <w:r>
        <w:t xml:space="preserve">、放量突破早盘高点，同时光伏/绿电板块获得持续资金共振后，小仓试加；不满足三项条件不加。</w:t>
      </w:r>
    </w:p>
    <w:p>
      <w:pPr>
        <w:numPr>
          <w:ilvl w:val="0"/>
          <w:numId w:val="1027"/>
        </w:numPr>
        <w:pStyle w:val="Compact"/>
      </w:pPr>
      <w:r>
        <w:t xml:space="preserve">🚫 失效条件：绿电政策未传导至光伏制造、板块无扩散或个股冲高回落跌回前收下方。</w:t>
      </w:r>
    </w:p>
    <w:p>
      <w:pPr>
        <w:numPr>
          <w:ilvl w:val="0"/>
          <w:numId w:val="1027"/>
        </w:numPr>
        <w:pStyle w:val="Compact"/>
      </w:pPr>
      <w:r>
        <w:t xml:space="preserve">⚠️ 风险：光伏供需、盈利修复不及预期、单源行情偏差及公告未核验。</w:t>
      </w:r>
    </w:p>
    <w:p>
      <w:pPr>
        <w:pStyle w:val="Heading3"/>
      </w:pPr>
      <w:bookmarkStart w:id="52" w:name="风语筑700股成本13.2159元"/>
      <w:r>
        <w:t xml:space="preserve">📉 603466 风语筑｜700股｜成本13.2159元</w:t>
      </w:r>
      <w:bookmarkEnd w:id="52"/>
    </w:p>
    <w:p>
      <w:pPr>
        <w:numPr>
          <w:ilvl w:val="0"/>
          <w:numId w:val="1028"/>
        </w:numPr>
        <w:pStyle w:val="Compact"/>
      </w:pPr>
      <w:r>
        <w:t xml:space="preserve">📊 最新可得价</w:t>
      </w:r>
      <w:r>
        <w:t xml:space="preserve"> </w:t>
      </w:r>
      <w:r>
        <w:rPr>
          <w:b/>
        </w:rPr>
        <w:t xml:space="preserve">11.15元</w:t>
      </w:r>
      <w:r>
        <w:t xml:space="preserve">，浮亏</w:t>
      </w:r>
      <w:r>
        <w:t xml:space="preserve"> </w:t>
      </w:r>
      <w:r>
        <w:rPr>
          <w:b/>
        </w:rPr>
        <w:t xml:space="preserve">15.63%</w:t>
      </w:r>
      <w:r>
        <w:t xml:space="preserve">，按持股估算浮亏</w:t>
      </w:r>
      <w:r>
        <w:t xml:space="preserve"> </w:t>
      </w:r>
      <w:r>
        <w:rPr>
          <w:b/>
        </w:rPr>
        <w:t xml:space="preserve">1446.13元</w:t>
      </w:r>
      <w:r>
        <w:t xml:space="preserve">。</w:t>
      </w:r>
    </w:p>
    <w:p>
      <w:pPr>
        <w:numPr>
          <w:ilvl w:val="0"/>
          <w:numId w:val="1028"/>
        </w:numPr>
        <w:pStyle w:val="Compact"/>
      </w:pPr>
      <w:r>
        <w:t xml:space="preserve">💡 今日动作：</w:t>
      </w:r>
      <w:r>
        <w:rPr>
          <w:b/>
        </w:rPr>
        <w:t xml:space="preserve">持有观察，反弹不强则减仓</w:t>
      </w:r>
      <w:r>
        <w:t xml:space="preserve">。数据产业政策提供主题催化，但个股能否受益与资金是否认可均需盘面验证。</w:t>
      </w:r>
    </w:p>
    <w:p>
      <w:pPr>
        <w:numPr>
          <w:ilvl w:val="0"/>
          <w:numId w:val="1028"/>
        </w:numPr>
        <w:pStyle w:val="Compact"/>
      </w:pPr>
      <w:r>
        <w:t xml:space="preserve">📉 减仓/离场触发：若跌破前收</w:t>
      </w:r>
      <w:r>
        <w:t xml:space="preserve"> </w:t>
      </w:r>
      <w:r>
        <w:rPr>
          <w:b/>
        </w:rPr>
        <w:t xml:space="preserve">11.09元</w:t>
      </w:r>
      <w:r>
        <w:t xml:space="preserve">且数据要素/AI应用板块未走强，或冲高后跌破开盘价并放量，执行减仓。</w:t>
      </w:r>
    </w:p>
    <w:p>
      <w:pPr>
        <w:numPr>
          <w:ilvl w:val="0"/>
          <w:numId w:val="1028"/>
        </w:numPr>
        <w:pStyle w:val="Compact"/>
      </w:pPr>
      <w:r>
        <w:t xml:space="preserve">📈 条件加仓：股价有效站稳</w:t>
      </w:r>
      <w:r>
        <w:t xml:space="preserve"> </w:t>
      </w:r>
      <w:r>
        <w:rPr>
          <w:b/>
        </w:rPr>
        <w:t xml:space="preserve">11.15元</w:t>
      </w:r>
      <w:r>
        <w:t xml:space="preserve">并突破早盘高点，数据要素板块同步放量且至少两只核心股共振时，方可小仓加仓。</w:t>
      </w:r>
    </w:p>
    <w:p>
      <w:pPr>
        <w:numPr>
          <w:ilvl w:val="0"/>
          <w:numId w:val="1028"/>
        </w:numPr>
        <w:pStyle w:val="Compact"/>
      </w:pPr>
      <w:r>
        <w:t xml:space="preserve">🚫 失效条件：政策题材高开兑现、板块无扩散，或公司公告显示基本面/监管风险。</w:t>
      </w:r>
    </w:p>
    <w:p>
      <w:pPr>
        <w:numPr>
          <w:ilvl w:val="0"/>
          <w:numId w:val="1028"/>
        </w:numPr>
        <w:pStyle w:val="Compact"/>
      </w:pPr>
      <w:r>
        <w:t xml:space="preserve">⚠️ 风险：政策映射不等于订单、主题轮动快、缺少多源行情与K线校验。</w:t>
      </w:r>
    </w:p>
    <w:p>
      <w:pPr>
        <w:pStyle w:val="Heading3"/>
      </w:pPr>
      <w:bookmarkStart w:id="53" w:name="工商银行1900股成本7.0601元"/>
      <w:r>
        <w:t xml:space="preserve">📈 601398 工商银行｜1900股｜成本7.0601元</w:t>
      </w:r>
      <w:bookmarkEnd w:id="53"/>
    </w:p>
    <w:p>
      <w:pPr>
        <w:numPr>
          <w:ilvl w:val="0"/>
          <w:numId w:val="1029"/>
        </w:numPr>
        <w:pStyle w:val="Compact"/>
      </w:pPr>
      <w:r>
        <w:t xml:space="preserve">📊 最新可得价</w:t>
      </w:r>
      <w:r>
        <w:t xml:space="preserve"> </w:t>
      </w:r>
      <w:r>
        <w:rPr>
          <w:b/>
        </w:rPr>
        <w:t xml:space="preserve">7.86元</w:t>
      </w:r>
      <w:r>
        <w:t xml:space="preserve">，浮盈</w:t>
      </w:r>
      <w:r>
        <w:t xml:space="preserve"> </w:t>
      </w:r>
      <w:r>
        <w:rPr>
          <w:b/>
        </w:rPr>
        <w:t xml:space="preserve">11.33%</w:t>
      </w:r>
      <w:r>
        <w:t xml:space="preserve">，按持股估算浮盈</w:t>
      </w:r>
      <w:r>
        <w:t xml:space="preserve"> </w:t>
      </w:r>
      <w:r>
        <w:rPr>
          <w:b/>
        </w:rPr>
        <w:t xml:space="preserve">1519.81元</w:t>
      </w:r>
      <w:r>
        <w:t xml:space="preserve">。</w:t>
      </w:r>
    </w:p>
    <w:p>
      <w:pPr>
        <w:numPr>
          <w:ilvl w:val="0"/>
          <w:numId w:val="1029"/>
        </w:numPr>
        <w:pStyle w:val="Compact"/>
      </w:pPr>
      <w:r>
        <w:t xml:space="preserve">💡 今日动作：</w:t>
      </w:r>
      <w:r>
        <w:rPr>
          <w:b/>
        </w:rPr>
        <w:t xml:space="preserve">稳健持有</w:t>
      </w:r>
      <w:r>
        <w:t xml:space="preserve">，作为防御底仓；不因短线涨幅主动追买。</w:t>
      </w:r>
    </w:p>
    <w:p>
      <w:pPr>
        <w:numPr>
          <w:ilvl w:val="0"/>
          <w:numId w:val="1029"/>
        </w:numPr>
        <w:pStyle w:val="Compact"/>
      </w:pPr>
      <w:r>
        <w:t xml:space="preserve">📉 减仓/离场触发：若跌破前收</w:t>
      </w:r>
      <w:r>
        <w:t xml:space="preserve"> </w:t>
      </w:r>
      <w:r>
        <w:rPr>
          <w:b/>
        </w:rPr>
        <w:t xml:space="preserve">7.82元</w:t>
      </w:r>
      <w:r>
        <w:t xml:space="preserve">且银行板块整体转弱，可分批锁定利润；若出现放量冲高回落，也可兑现部分浮盈。</w:t>
      </w:r>
    </w:p>
    <w:p>
      <w:pPr>
        <w:numPr>
          <w:ilvl w:val="0"/>
          <w:numId w:val="1029"/>
        </w:numPr>
        <w:pStyle w:val="Compact"/>
      </w:pPr>
      <w:r>
        <w:t xml:space="preserve">📈 条件加仓：仅在银行板块同步走强、股价站稳</w:t>
      </w:r>
      <w:r>
        <w:t xml:space="preserve"> </w:t>
      </w:r>
      <w:r>
        <w:rPr>
          <w:b/>
        </w:rPr>
        <w:t xml:space="preserve">7.86元</w:t>
      </w:r>
      <w:r>
        <w:t xml:space="preserve">并突破早盘高点后考虑小幅加仓；市场风险偏好快速上升导致高股息明显失血时不加。</w:t>
      </w:r>
    </w:p>
    <w:p>
      <w:pPr>
        <w:numPr>
          <w:ilvl w:val="0"/>
          <w:numId w:val="1029"/>
        </w:numPr>
        <w:pStyle w:val="Compact"/>
      </w:pPr>
      <w:r>
        <w:t xml:space="preserve">🚫 失效条件：红利防御逻辑失效、银行板块资金持续流出，或公司重大公告改变基本面预期。</w:t>
      </w:r>
    </w:p>
    <w:p>
      <w:pPr>
        <w:numPr>
          <w:ilvl w:val="0"/>
          <w:numId w:val="1029"/>
        </w:numPr>
        <w:pStyle w:val="Compact"/>
      </w:pPr>
      <w:r>
        <w:t xml:space="preserve">⚠️ 风险：利率环境、净息差、资产质量及高股息风格切换。</w:t>
      </w:r>
    </w:p>
    <w:p>
      <w:pPr>
        <w:pStyle w:val="Heading3"/>
      </w:pPr>
      <w:bookmarkStart w:id="54" w:name="农业银行5300股成本6.4244元"/>
      <w:r>
        <w:t xml:space="preserve">⚠️ 601288 农业银行｜5300股｜成本6.4244元</w:t>
      </w:r>
      <w:bookmarkEnd w:id="54"/>
    </w:p>
    <w:p>
      <w:pPr>
        <w:numPr>
          <w:ilvl w:val="0"/>
          <w:numId w:val="1030"/>
        </w:numPr>
        <w:pStyle w:val="Compact"/>
      </w:pPr>
      <w:r>
        <w:t xml:space="preserve">📊 最新价与涨跌幅</w:t>
      </w:r>
      <w:r>
        <w:t xml:space="preserve"> </w:t>
      </w:r>
      <w:r>
        <w:rPr>
          <w:b/>
        </w:rPr>
        <w:t xml:space="preserve">未核验</w:t>
      </w:r>
      <w:r>
        <w:t xml:space="preserve">，因此当前盈亏幅度无法可靠计算。</w:t>
      </w:r>
    </w:p>
    <w:p>
      <w:pPr>
        <w:numPr>
          <w:ilvl w:val="0"/>
          <w:numId w:val="1030"/>
        </w:numPr>
        <w:pStyle w:val="Compact"/>
      </w:pPr>
      <w:r>
        <w:t xml:space="preserve">💡 今日动作：</w:t>
      </w:r>
      <w:r>
        <w:rPr>
          <w:b/>
        </w:rPr>
        <w:t xml:space="preserve">持有观察，不新增仓位</w:t>
      </w:r>
      <w:r>
        <w:t xml:space="preserve">；先在交易终端核验最新价、公告和分红除权因素。</w:t>
      </w:r>
    </w:p>
    <w:p>
      <w:pPr>
        <w:numPr>
          <w:ilvl w:val="0"/>
          <w:numId w:val="1030"/>
        </w:numPr>
        <w:pStyle w:val="Compact"/>
      </w:pPr>
      <w:r>
        <w:t xml:space="preserve">📉 减仓/离场触发：若核验后股价跌破当日开盘价且银行板块同步放量走弱，或持仓由盈利转为明显亏损并无板块承接，可分批降低仓位。</w:t>
      </w:r>
    </w:p>
    <w:p>
      <w:pPr>
        <w:numPr>
          <w:ilvl w:val="0"/>
          <w:numId w:val="1030"/>
        </w:numPr>
        <w:pStyle w:val="Compact"/>
      </w:pPr>
      <w:r>
        <w:t xml:space="preserve">📈 条件加仓：仅在最新价、前收和公告全部核验后，银行板块同步走强且个股放量突破早盘高点时小仓参与；不得因接近成本价无条件补仓。</w:t>
      </w:r>
    </w:p>
    <w:p>
      <w:pPr>
        <w:numPr>
          <w:ilvl w:val="0"/>
          <w:numId w:val="1030"/>
        </w:numPr>
        <w:pStyle w:val="Compact"/>
      </w:pPr>
      <w:r>
        <w:t xml:space="preserve">🚫 失效条件：无法完成价格与公告核验、银行板块资金转弱或重大基本面风险出现。</w:t>
      </w:r>
    </w:p>
    <w:p>
      <w:pPr>
        <w:numPr>
          <w:ilvl w:val="0"/>
          <w:numId w:val="1030"/>
        </w:numPr>
        <w:pStyle w:val="Compact"/>
      </w:pPr>
      <w:r>
        <w:t xml:space="preserve">⚠️ 风险：行情缺失本身就是执行风险；另有净息差、资产质量和风格切换风险。</w:t>
      </w:r>
    </w:p>
    <w:p>
      <w:pPr>
        <w:pStyle w:val="Heading3"/>
      </w:pPr>
      <w:bookmarkStart w:id="55" w:name="持仓优先级结论"/>
      <w:r>
        <w:t xml:space="preserve">💡 持仓优先级结论</w:t>
      </w:r>
      <w:bookmarkEnd w:id="55"/>
    </w:p>
    <w:p>
      <w:pPr>
        <w:numPr>
          <w:ilvl w:val="0"/>
          <w:numId w:val="1031"/>
        </w:numPr>
        <w:pStyle w:val="Compact"/>
      </w:pPr>
      <w:r>
        <w:t xml:space="preserve">⚠️ 最该减仓观察：</w:t>
      </w:r>
      <w:r>
        <w:rPr>
          <w:b/>
        </w:rPr>
        <w:t xml:space="preserve">弘元绿能</w:t>
      </w:r>
      <w:r>
        <w:t xml:space="preserve">，浮亏39.25%且尚无量价/资金反转证据。</w:t>
      </w:r>
    </w:p>
    <w:p>
      <w:pPr>
        <w:numPr>
          <w:ilvl w:val="0"/>
          <w:numId w:val="1031"/>
        </w:numPr>
        <w:pStyle w:val="Compact"/>
      </w:pPr>
      <w:r>
        <w:t xml:space="preserve">🛡️ 最稳健持有：</w:t>
      </w:r>
      <w:r>
        <w:rPr>
          <w:b/>
        </w:rPr>
        <w:t xml:space="preserve">工商银行</w:t>
      </w:r>
      <w:r>
        <w:t xml:space="preserve">，最新可得浮盈11.33%，防御属性较强。</w:t>
      </w:r>
    </w:p>
    <w:p>
      <w:pPr>
        <w:numPr>
          <w:ilvl w:val="0"/>
          <w:numId w:val="1031"/>
        </w:numPr>
        <w:pStyle w:val="Compact"/>
      </w:pPr>
      <w:r>
        <w:t xml:space="preserve">📈 满足条件才可加仓：</w:t>
      </w:r>
      <w:r>
        <w:rPr>
          <w:b/>
        </w:rPr>
        <w:t xml:space="preserve">风语筑</w:t>
      </w:r>
      <w:r>
        <w:t xml:space="preserve">，需数据要素板块放量共振且个股突破早盘高点；弘元绿能也仅限三项触发同时满足时小仓试加。</w:t>
      </w:r>
    </w:p>
    <w:p>
      <w:pPr>
        <w:numPr>
          <w:ilvl w:val="0"/>
          <w:numId w:val="1031"/>
        </w:numPr>
        <w:pStyle w:val="Compact"/>
      </w:pPr>
      <w:r>
        <w:t xml:space="preserve">🚫 暂不加仓：</w:t>
      </w:r>
      <w:r>
        <w:rPr>
          <w:b/>
        </w:rPr>
        <w:t xml:space="preserve">农业银行</w:t>
      </w:r>
      <w:r>
        <w:t xml:space="preserve">，先完成价格和公告核验。</w:t>
      </w:r>
    </w:p>
    <w:p>
      <w:r>
        <w:pict>
          <v:rect style="width:0;height:1.5pt" o:hralign="center" o:hrstd="t" o:hr="t"/>
        </w:pict>
      </w:r>
    </w:p>
    <w:p>
      <w:pPr>
        <w:pStyle w:val="Heading2"/>
      </w:pPr>
      <w:bookmarkStart w:id="56" w:name="风险提示"/>
      <w:r>
        <w:t xml:space="preserve">⚠️ 风险提示</w:t>
      </w:r>
      <w:bookmarkEnd w:id="56"/>
    </w:p>
    <w:p>
      <w:pPr>
        <w:numPr>
          <w:ilvl w:val="0"/>
          <w:numId w:val="1032"/>
        </w:numPr>
        <w:pStyle w:val="Compact"/>
      </w:pPr>
      <w:r>
        <w:t xml:space="preserve">本报告关键源覆盖率仅</w:t>
      </w:r>
      <w:r>
        <w:t xml:space="preserve"> </w:t>
      </w:r>
      <w:r>
        <w:rPr>
          <w:b/>
        </w:rPr>
        <w:t xml:space="preserve">42.86%</w:t>
      </w:r>
      <w:r>
        <w:t xml:space="preserve">，资金流TOP10、板块排行、活跃股、涨跌停样本和公告均缺失。</w:t>
      </w:r>
    </w:p>
    <w:p>
      <w:pPr>
        <w:numPr>
          <w:ilvl w:val="0"/>
          <w:numId w:val="1032"/>
        </w:numPr>
        <w:pStyle w:val="Compact"/>
      </w:pPr>
      <w:r>
        <w:t xml:space="preserve">华泰文本分析与选股结果仅作补充线索，不能替代新浪/东方财富/腾讯结构化数据；华泰自选股行情为单源。</w:t>
      </w:r>
    </w:p>
    <w:p>
      <w:pPr>
        <w:numPr>
          <w:ilvl w:val="0"/>
          <w:numId w:val="1032"/>
        </w:numPr>
        <w:pStyle w:val="Compact"/>
      </w:pPr>
      <w:r>
        <w:t xml:space="preserve">同花顺成交额比较口径为</w:t>
      </w:r>
      <w:r>
        <w:t xml:space="preserve"> </w:t>
      </w:r>
      <w:r>
        <w:rPr>
          <w:rStyle w:val="VerbatimChar"/>
        </w:rPr>
        <w:t xml:space="preserve">unverified</w:t>
      </w:r>
      <w:r>
        <w:t xml:space="preserve">，不得据此计算或使用成交额变化百分比。</w:t>
      </w:r>
    </w:p>
    <w:p>
      <w:pPr>
        <w:numPr>
          <w:ilvl w:val="0"/>
          <w:numId w:val="1032"/>
        </w:numPr>
        <w:pStyle w:val="Compact"/>
      </w:pPr>
      <w:r>
        <w:t xml:space="preserve">所有方向都必须等开盘后资金、成交和核心标的共振验证；条件未满足时，以控制仓位和公告排雷为先。</w:t>
      </w:r>
    </w:p>
    <w:p>
      <w:pPr>
        <w:numPr>
          <w:ilvl w:val="0"/>
          <w:numId w:val="1032"/>
        </w:numPr>
        <w:pStyle w:val="Compact"/>
      </w:pPr>
      <w:r>
        <w:t xml:space="preserve">本报告为数据驱动的盘前研究记录，不构成收益承诺或无条件交易指令。</w:t>
      </w:r>
    </w:p>
    <w:p>
      <w:r>
        <w:pict>
          <v:rect style="width:0;height:1.5pt" o:hralign="center" o:hrstd="t" o:hr="t"/>
        </w:pict>
      </w:r>
    </w:p>
    <w:p>
      <w:pPr>
        <w:pStyle w:val="BlockText"/>
      </w:pPr>
      <w:r>
        <w:t xml:space="preserve">📊 生成时间：2026-08-31 08:30（北京时间，Asia/Shanghai）</w:t>
      </w:r>
      <w:r>
        <w:t xml:space="preserve"> </w:t>
      </w:r>
      <w:r>
        <w:t xml:space="preserve">🔮 by：先知 v1.0.3 — 周先生出品</w:t>
      </w:r>
      <w:r>
        <w:t xml:space="preserve"> </w:t>
      </w:r>
      <w:r>
        <w:t xml:space="preserve">🔵 数据采集模型：local-python</w:t>
      </w:r>
      <w:r>
        <w:t xml:space="preserve"> </w:t>
      </w:r>
      <w:r>
        <w:t xml:space="preserve">🔴 分析+写稿模型：hermes</w:t>
      </w:r>
      <w:r>
        <w:t xml:space="preserve"> </w:t>
      </w:r>
      <w:r>
        <w:t xml:space="preserve">📄 文档生成：pandoc (markdown → docx)</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1"/>
  </w:num>
  <w:num w:numId="1026">
    <w:abstractNumId w:val="991"/>
  </w:num>
  <w:num w:numId="1027">
    <w:abstractNumId w:val="991"/>
  </w:num>
  <w:num w:numId="1028">
    <w:abstractNumId w:val="991"/>
  </w:num>
  <w:num w:numId="1029">
    <w:abstractNumId w:val="991"/>
  </w:num>
  <w:num w:numId="1030">
    <w:abstractNumId w:val="991"/>
  </w:num>
  <w:num w:numId="1031">
    <w:abstractNumId w:val="991"/>
  </w:num>
  <w:num w:numId="1032">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spelling="clean" w:grammar="clean"/>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276"/>
  <w:style w:type="paragraph" w:default="1" w:styleId="Normal">
    <w:name w:val="Normal"/>
    <w:qFormat/>
  </w:style>
  <w:style w:type="paragraph" w:styleId="BodyText">
    <w:name w:val="Body Text"/>
    <w:basedOn w:val="Normal"/>
    <w:link w:val="BodyTextChar"/>
    <w:pPr>
      <w:spacing w:before="180" w:after="180"/>
    </w:pPr>
    <w:qFormat/>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keepNext/>
      <w:keepLines/>
      <w:spacing w:before="240" w:after="240"/>
      <w:jc w:val="center"/>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next w:val="Bibliography"/>
    <w:qFormat/>
    <w:pPr/>
    <w:rPr/>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sz w:val="24"/>
      <w:szCs w:val="24"/>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i/>
      <w:bCs/>
      <w:color w:val="4F81BD" w:themeColor="accent1"/>
      <w:sz w:val="24"/>
      <w:szCs w:val="24"/>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sz w:val="24"/>
      <w:szCs w:val="24"/>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sz w:val="24"/>
      <w:szCs w:val="24"/>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sz w:val="24"/>
      <w:szCs w:val="24"/>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sz w:val="24"/>
      <w:szCs w:val="24"/>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sz w:val="24"/>
      <w:szCs w:val="24"/>
    </w:rPr>
  </w:style>
  <w:style w:type="paragraph" w:styleId="BlockText">
    <w:name w:val="Block Text"/>
    <w:basedOn w:val="BodyText"/>
    <w:next w:val="BodyText"/>
    <w:uiPriority w:val="9"/>
    <w:unhideWhenUsed/>
    <w:qFormat/>
    <w:pPr>
      <w:spacing w:before="100" w:after="100"/>
      <w:ind w:firstLine="0" w:left="480" w:right="480"/>
    </w:pPr>
  </w:style>
  <w:style w:type="paragraph" w:styleId="FootnoteText">
    <w:name w:val="Footnote Text"/>
    <w:basedOn w:val="Normal"/>
    <w:next w:val="FootnoteText"/>
    <w:uiPriority w:val="9"/>
    <w:unhideWhenUsed/>
    <w:qFormat/>
  </w:style>
  <w:style w:type="character" w:default="1" w:styleId="DefaultParagraphFont">
    <w:name w:val="Default Paragraph Font"/>
    <w:semiHidden/>
    <w:unhideWhenUsed/>
  </w:style>
  <w:style w:type="table" w:default="1" w:styleId="Table">
    <w:name w:val="Table"/>
    <w:basedOn w:val="TableNormal"/>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BodyTextChar"/>
    <w:pPr>
      <w:spacing w:before="0"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BodyTextChar">
    <w:name w:val="Body Text Char"/>
    <w:basedOn w:val="DefaultParagraphFont"/>
    <w:link w:val="BodyText"/>
  </w:style>
  <w:style w:type="character" w:customStyle="1" w:styleId="VerbatimChar">
    <w:name w:val="Verbatim Char"/>
    <w:basedOn w:val="BodyTextChar"/>
    <w:rPr>
      <w:rFonts w:ascii="Consolas" w:hAnsi="Consolas"/>
      <w:sz w:val="22"/>
    </w:rPr>
  </w:style>
  <w:style w:type="character" w:styleId="FootnoteReference">
    <w:name w:val="Footnote Reference"/>
    <w:basedOn w:val="BodyTextChar"/>
    <w:rPr>
      <w:vertAlign w:val="superscript"/>
    </w:rPr>
  </w:style>
  <w:style w:type="character" w:styleId="Hyperlink">
    <w:name w:val="Hyperlink"/>
    <w:basedOn w:val="BodyText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rFonts w:asciiTheme="majorHAnsi" w:eastAsiaTheme="majorEastAsia" w:hAnsiTheme="majorHAnsi" w:cstheme="majorBidi"/>
      <w:b w:val="0"/>
      <w:bCs w:val="0"/>
      <w:color w:val="365F91" w:themeColor="accent1" w:themeShade="BF"/>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
<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2026-08-31T00:35:39Z</dcterms:created>
  <dcterms:modified xsi:type="dcterms:W3CDTF">2026-08-31T00:35:39Z</dcterms:modified>
</cp:coreProperties>
</file>

<file path=docProps/custom.xml><?xml version="1.0" encoding="utf-8"?>
<Properties xmlns="http://schemas.openxmlformats.org/officeDocument/2006/custom-properties" xmlns:vt="http://schemas.openxmlformats.org/officeDocument/2006/docPropsVTypes"/>
</file>