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26周三"/>
      <w:r>
        <w:t xml:space="preserve">🌅 盘前简报 | 2026-08-26（周三）</w:t>
      </w:r>
      <w:bookmarkEnd w:id="20"/>
    </w:p>
    <w:p>
      <w:pPr>
        <w:pStyle w:val="BlockText"/>
      </w:pPr>
      <w:r>
        <w:t xml:space="preserve">数据基准：2026-08-26 08:30（北京时间）。A股盘面数据均为上一交易日 2026-08-25 收盘数据；盘前不将其表述为今日实盘。</w:t>
      </w:r>
    </w:p>
    <w:p>
      <w:pPr>
        <w:pStyle w:val="BlockText"/>
      </w:pPr>
      <w:r>
        <w:t xml:space="preserve">⚠️ 数据质量：关键源覆盖率 3/7（42.86%）。指数完成三源交叉验证；涨跌家数与全市场成交额为同花顺单源；资金流、板块表现、活跃股、核心个股交叉校验及公告源采集失败。缺失内容统一标为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，不补写榜单或数值。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富时中国 A50 期指</w:t>
      </w:r>
      <w:r>
        <w:t xml:space="preserve">：14,560.00，涨 0.41%，对A股开盘情绪提供温和正向参考，但不能替代开盘后量价确认。</w:t>
      </w:r>
    </w:p>
    <w:p>
      <w:pPr>
        <w:numPr>
          <w:ilvl w:val="0"/>
          <w:numId w:val="1001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恒生指数</w:t>
      </w:r>
      <w:r>
        <w:t xml:space="preserve">：上一交易日收于 25,517.33，跌 0.02%；这是 8 月 25 日收盘数据，并非 8 月 26 日港股早盘行情。</w:t>
      </w:r>
    </w:p>
    <w:p>
      <w:pPr>
        <w:numPr>
          <w:ilvl w:val="0"/>
          <w:numId w:val="1001"/>
        </w:numPr>
        <w:pStyle w:val="Compact"/>
      </w:pPr>
      <w:r>
        <w:t xml:space="preserve">💱</w:t>
      </w:r>
      <w:r>
        <w:t xml:space="preserve"> </w:t>
      </w:r>
      <w:r>
        <w:rPr>
          <w:b/>
        </w:rPr>
        <w:t xml:space="preserve">美元离岸人民币</w:t>
      </w:r>
      <w:r>
        <w:t xml:space="preserve">：6.7165，采集字段显示变动 -0.0002；原始百分比字段与变动方向存在口径歧义，报告不据此判断升贬方向。</w:t>
      </w:r>
    </w:p>
    <w:p>
      <w:pPr>
        <w:numPr>
          <w:ilvl w:val="0"/>
          <w:numId w:val="1001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COMEX 黄金</w:t>
      </w:r>
      <w:r>
        <w:t xml:space="preserve">：4,703.922，涨 0.20%；地缘与制裁风险仍可能维持避险需求。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WTI 原油</w:t>
      </w:r>
      <w:r>
        <w:t xml:space="preserve">：80.926，跌 1.74%；但霍尔木兹海峡、曼德海峡航运受阻与红海油轮遇袭，使能源价格仍有事件驱动波动风险。</w:t>
      </w:r>
    </w:p>
    <w:p>
      <w:pPr>
        <w:numPr>
          <w:ilvl w:val="0"/>
          <w:numId w:val="1001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伦铜</w:t>
      </w:r>
      <w:r>
        <w:t xml:space="preserve">：14,347.0，跌 0.02%，方向接近平盘，暂不足以单独形成A股有色交易信号。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美股三大指数、重点中概股、欧洲主要股指</w:t>
      </w:r>
      <w:r>
        <w:t xml:space="preserve">：采集 JSON 未提供可核验的结构化行情。华泰文本出现相互冲突的隔夜描述，故全部降级为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，不引用其中具体涨跌幅。</w:t>
      </w:r>
    </w:p>
    <w:p>
      <w:pPr>
        <w:pStyle w:val="FirstParagraph"/>
      </w:pPr>
      <w:r>
        <w:t xml:space="preserve">💡 盘前含义：A50偏强、港股前收盘接近平盘，但海外科技方向和欧美指数缺少可靠行情，开盘不宜仅凭外盘做单边押注。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BlockText"/>
      </w:pPr>
      <w:r>
        <w:t xml:space="preserve">核验结果：播出日期 2026-08-25；央视目录 15 条，详情成功 15 条，目录与成功数一致。采集时间 2026-08-26 08:30:05；来源为央视网，存档</w:t>
      </w:r>
      <w:r>
        <w:t xml:space="preserve"> </w:t>
      </w:r>
      <w:r>
        <w:rPr>
          <w:rStyle w:val="VerbatimChar"/>
        </w:rPr>
        <w:t xml:space="preserve">/root/stock/xz-stock-now/memory/xinwenlianbo/2026-08-25.md</w:t>
      </w:r>
      <w:r>
        <w:t xml:space="preserve">。</w:t>
      </w:r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民生与高质量发展是主政策底色</w:t>
      </w:r>
      <w:r>
        <w:t xml:space="preserve">：共同富裕、就业、社保、房地产高质量发展和公共服务均等化被集中强调，属于中长期政策延续，短线仍需等待后续具体增量措施。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公共数据开放出现可映射产业线索</w:t>
      </w:r>
      <w:r>
        <w:t xml:space="preserve">：150个国家层面公共数据示范场景、全国一体化政务数据共享枢纽调用超5500亿次，对数据治理、数据安全、政务IT、医疗信息化形成偏利好线索。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交通基建与物流数据保持增长</w:t>
      </w:r>
      <w:r>
        <w:t xml:space="preserve">：前7个月交通固定资产投资18,152亿元，重点项目开工加快；可跟踪基建施工、轨交、公路、港口和物流数字化，但需板块资金确认。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充电基础设施与医保云具备产业映射</w:t>
      </w:r>
      <w:r>
        <w:t xml:space="preserve">：充电设施总数2,368.3万个、同比增长41.9%；</w:t>
      </w:r>
      <w:r>
        <w:t xml:space="preserve">“</w:t>
      </w:r>
      <w:r>
        <w:t xml:space="preserve">十五五</w:t>
      </w:r>
      <w:r>
        <w:t xml:space="preserve">”</w:t>
      </w:r>
      <w:r>
        <w:t xml:space="preserve">个人医保云指向充电运营、电网设备、医疗IT和健康数据治理。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外部风险升温</w:t>
      </w:r>
      <w:r>
        <w:t xml:space="preserve">：对伊朗新制裁、红海油轮遇袭、欧美关税摩擦及俄乌导弹技术升级，可能推升航运、能源与军工波动，同时压制外贸、汽车零部件及高估值成长风险偏好。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极端天气风险</w:t>
      </w:r>
      <w:r>
        <w:t xml:space="preserve">：台风</w:t>
      </w:r>
      <w:r>
        <w:t xml:space="preserve">“</w:t>
      </w:r>
      <w:r>
        <w:t xml:space="preserve">紫檀</w:t>
      </w:r>
      <w:r>
        <w:t xml:space="preserve">”</w:t>
      </w:r>
      <w:r>
        <w:t xml:space="preserve">与南方暴雨预警，短线关注交通、农业、基建施工和供应链扰动；防灾减灾方向需等资金与订单验证。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新思想引领新征程为人民出政绩-以实干出政绩"/>
      <w:r>
        <w:t xml:space="preserve">【新思想引领新征程】为人民出政绩 以实干出政绩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A股影响：中性</w:t>
      </w:r>
    </w:p>
    <w:p>
      <w:pPr>
        <w:numPr>
          <w:ilvl w:val="0"/>
          <w:numId w:val="1003"/>
        </w:numPr>
        <w:pStyle w:val="Compact"/>
      </w:pPr>
      <w:r>
        <w:t xml:space="preserve">相关板块：民生基建、公共服务；无直接短线映射</w:t>
      </w:r>
    </w:p>
    <w:p>
      <w:pPr>
        <w:numPr>
          <w:ilvl w:val="0"/>
          <w:numId w:val="1003"/>
        </w:numPr>
        <w:pStyle w:val="Compact"/>
      </w:pPr>
      <w:r>
        <w:t xml:space="preserve">核心解读：强调科学决策、真抓实干与整治形象工程，政策含义偏向项目质量和民生实效，而非单纯扩大投资规模。</w:t>
      </w:r>
    </w:p>
    <w:p>
      <w:pPr>
        <w:numPr>
          <w:ilvl w:val="0"/>
          <w:numId w:val="1003"/>
        </w:numPr>
        <w:pStyle w:val="Compact"/>
      </w:pPr>
      <w:r>
        <w:t xml:space="preserve">验证条件：观察民生补短板项目、地方专项资金和后续行业政策；若无增量资金与订单，题材映射失效。</w:t>
      </w:r>
    </w:p>
    <w:p>
      <w:pPr>
        <w:pStyle w:val="Heading4"/>
      </w:pPr>
      <w:bookmarkStart w:id="26" w:name="央视快评努力创造经得起实践人民历史检验的实绩"/>
      <w:r>
        <w:t xml:space="preserve">央视快评：努力创造经得起实践人民历史检验的实绩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4"/>
        </w:numPr>
        <w:pStyle w:val="Compact"/>
      </w:pPr>
      <w:r>
        <w:t xml:space="preserve">核心解读：属于治理与政绩观延伸表态，不构成可直接量化的行业催化。</w:t>
      </w:r>
    </w:p>
    <w:p>
      <w:pPr>
        <w:numPr>
          <w:ilvl w:val="0"/>
          <w:numId w:val="1004"/>
        </w:numPr>
        <w:pStyle w:val="Compact"/>
      </w:pPr>
      <w:r>
        <w:t xml:space="preserve">验证条件：仅在后续出现具体投资、改革或监管文件时再建立行业交易映射。</w:t>
      </w:r>
    </w:p>
    <w:p>
      <w:pPr>
        <w:pStyle w:val="Heading4"/>
      </w:pPr>
      <w:bookmarkStart w:id="27" w:name="十四届全国人大常委会第二十四次会议在京举行-赵乐际主持"/>
      <w:r>
        <w:t xml:space="preserve">十四届全国人大常委会第二十四次会议在京举行 赵乐际主持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相关板块：医疗保障、农业种植、水务、银行、法律服务、国防动员</w:t>
      </w:r>
    </w:p>
    <w:p>
      <w:pPr>
        <w:numPr>
          <w:ilvl w:val="0"/>
          <w:numId w:val="1005"/>
        </w:numPr>
        <w:pStyle w:val="Compact"/>
      </w:pPr>
      <w:r>
        <w:t xml:space="preserve">核心解读：医疗保障法、耕地保护和质量提升法、农业法、银行业监督管理法、水法等进入审议或修改程序，属于制度建设信号；实际影响取决于条款与落地节奏。</w:t>
      </w:r>
    </w:p>
    <w:p>
      <w:pPr>
        <w:numPr>
          <w:ilvl w:val="0"/>
          <w:numId w:val="1005"/>
        </w:numPr>
        <w:pStyle w:val="Compact"/>
      </w:pPr>
      <w:r>
        <w:t xml:space="preserve">验证条件：关注草案全文、审议结果及细分监管要求；若仅停留在程序阶段，短线催化有限。</w:t>
      </w:r>
    </w:p>
    <w:p>
      <w:pPr>
        <w:pStyle w:val="Heading4"/>
      </w:pPr>
      <w:bookmarkStart w:id="28" w:name="全国政协十四届常委会第十八次会议开幕-王沪宁出席"/>
      <w:r>
        <w:t xml:space="preserve">全国政协十四届常委会第十八次会议开幕 王沪宁出席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相关板块：就业服务、社会保障、房地产、公共服务、消费</w:t>
      </w:r>
    </w:p>
    <w:p>
      <w:pPr>
        <w:numPr>
          <w:ilvl w:val="0"/>
          <w:numId w:val="1006"/>
        </w:numPr>
        <w:pStyle w:val="Compact"/>
      </w:pPr>
      <w:r>
        <w:t xml:space="preserve">核心解读：共同富裕、高质量充分就业、收入分配、社保与房地产高质量发展被集中部署，对内需和民生方向形成政策预期，但尚非具体刺激方案。</w:t>
      </w:r>
    </w:p>
    <w:p>
      <w:pPr>
        <w:numPr>
          <w:ilvl w:val="0"/>
          <w:numId w:val="1006"/>
        </w:numPr>
        <w:pStyle w:val="Compact"/>
      </w:pPr>
      <w:r>
        <w:t xml:space="preserve">验证条件：需见住房、就业、收入分配或消费领域的实质政策及资金安排；无新增措施则维持主题观察。</w:t>
      </w:r>
    </w:p>
    <w:p>
      <w:pPr>
        <w:pStyle w:val="Heading4"/>
      </w:pPr>
      <w:bookmarkStart w:id="29" w:name="韩正会见印度国家安全顾问中印边界问题印方特别代表多瓦尔"/>
      <w:r>
        <w:t xml:space="preserve">韩正会见印度国家安全顾问、中印边界问题印方特别代表多瓦尔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相关板块：跨境贸易、物流；无直接短线映射</w:t>
      </w:r>
    </w:p>
    <w:p>
      <w:pPr>
        <w:numPr>
          <w:ilvl w:val="0"/>
          <w:numId w:val="1007"/>
        </w:numPr>
        <w:pStyle w:val="Compact"/>
      </w:pPr>
      <w:r>
        <w:t xml:space="preserve">核心解读：强调增进互信、挖掘合作潜力和管控分歧，有利于双边关系稳定预期。</w:t>
      </w:r>
    </w:p>
    <w:p>
      <w:pPr>
        <w:numPr>
          <w:ilvl w:val="0"/>
          <w:numId w:val="1007"/>
        </w:numPr>
        <w:pStyle w:val="Compact"/>
      </w:pPr>
      <w:r>
        <w:t xml:space="preserve">验证条件：观察贸易、投资、航线或产业合作的具体协议；边界或经贸摩擦反复则逻辑失效。</w:t>
      </w:r>
    </w:p>
    <w:p>
      <w:pPr>
        <w:pStyle w:val="Heading4"/>
      </w:pPr>
      <w:bookmarkStart w:id="30" w:name="全国夏粮收购进入高峰-累计收购总量超9000万吨"/>
      <w:r>
        <w:t xml:space="preserve">全国夏粮收购进入高峰 累计收购总量超9000万吨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相关板块：种植业、粮食仓储、烘干设备、农机、粮食物流</w:t>
      </w:r>
    </w:p>
    <w:p>
      <w:pPr>
        <w:numPr>
          <w:ilvl w:val="0"/>
          <w:numId w:val="1008"/>
        </w:numPr>
        <w:pStyle w:val="Compact"/>
      </w:pPr>
      <w:r>
        <w:t xml:space="preserve">核心解读：最低收购价托底、仓容和资金保障强化粮食安全预期；优质优价及湿麦烘干场景利于设备与仓储需求。</w:t>
      </w:r>
    </w:p>
    <w:p>
      <w:pPr>
        <w:numPr>
          <w:ilvl w:val="0"/>
          <w:numId w:val="1008"/>
        </w:numPr>
        <w:pStyle w:val="Compact"/>
      </w:pPr>
      <w:r>
        <w:t xml:space="preserve">验证条件：观察粮价、收储进度、农业板块成交与资金承接；若仅消息脉冲且无资金扩散，不追高。</w:t>
      </w:r>
    </w:p>
    <w:p>
      <w:pPr>
        <w:pStyle w:val="Heading4"/>
      </w:pPr>
      <w:bookmarkStart w:id="31" w:name="前7个月我国交通运输主要指标保持增长"/>
      <w:r>
        <w:t xml:space="preserve">前7个月我国交通运输主要指标保持增长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相关板块：交通基建、工程机械、港口、物流、机场</w:t>
      </w:r>
    </w:p>
    <w:p>
      <w:pPr>
        <w:numPr>
          <w:ilvl w:val="0"/>
          <w:numId w:val="1009"/>
        </w:numPr>
        <w:pStyle w:val="Compact"/>
      </w:pPr>
      <w:r>
        <w:t xml:space="preserve">核心解读：货运量、港口吞吐量及交通固定资产投资保持增长，18,152亿元投资与重点工程开工提供订单线索。</w:t>
      </w:r>
    </w:p>
    <w:p>
      <w:pPr>
        <w:numPr>
          <w:ilvl w:val="0"/>
          <w:numId w:val="1009"/>
        </w:numPr>
        <w:pStyle w:val="Compact"/>
      </w:pPr>
      <w:r>
        <w:t xml:space="preserve">验证条件：关注基建板块放量、订单公告和专项资金进度；项目进度或回款不及预期为主要失效风险。</w:t>
      </w:r>
    </w:p>
    <w:p>
      <w:pPr>
        <w:pStyle w:val="Heading4"/>
      </w:pPr>
      <w:bookmarkStart w:id="32" w:name="我国加快推进公共数据开放共享-赋能千行百业"/>
      <w:r>
        <w:t xml:space="preserve">我国加快推进公共数据开放共享 赋能千行百业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A股影响：利好</w:t>
      </w:r>
    </w:p>
    <w:p>
      <w:pPr>
        <w:numPr>
          <w:ilvl w:val="0"/>
          <w:numId w:val="1010"/>
        </w:numPr>
        <w:pStyle w:val="Compact"/>
      </w:pPr>
      <w:r>
        <w:t xml:space="preserve">相关板块：数据要素、数据安全、政务IT、医疗信息化、交通数字化、气象服务</w:t>
      </w:r>
    </w:p>
    <w:p>
      <w:pPr>
        <w:numPr>
          <w:ilvl w:val="0"/>
          <w:numId w:val="1010"/>
        </w:numPr>
        <w:pStyle w:val="Compact"/>
      </w:pPr>
      <w:r>
        <w:t xml:space="preserve">核心解读：6类数据安全技术试点、150个国家层面示范场景和超5500亿次共享调用，显示公共数据从制度建设向场景落地推进。</w:t>
      </w:r>
    </w:p>
    <w:p>
      <w:pPr>
        <w:numPr>
          <w:ilvl w:val="0"/>
          <w:numId w:val="1010"/>
        </w:numPr>
        <w:pStyle w:val="Compact"/>
      </w:pPr>
      <w:r>
        <w:t xml:space="preserve">验证条件：观察数据授权运营、订单和板块成交放大；若缺乏商业模式与收入兑现，行情可能停留在题材阶段。</w:t>
      </w:r>
    </w:p>
    <w:p>
      <w:pPr>
        <w:pStyle w:val="Heading4"/>
      </w:pPr>
      <w:bookmarkStart w:id="33" w:name="第二十六届投洽会将于9月8日至11日在厦门举行"/>
      <w:r>
        <w:t xml:space="preserve">第二十六届投洽会将于9月8日至11日在厦门举行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相关板块：人工智能、绿色低碳、金融服务、跨境投资、福建本地</w:t>
      </w:r>
    </w:p>
    <w:p>
      <w:pPr>
        <w:numPr>
          <w:ilvl w:val="0"/>
          <w:numId w:val="1011"/>
        </w:numPr>
        <w:pStyle w:val="Compact"/>
      </w:pPr>
      <w:r>
        <w:t xml:space="preserve">核心解读：123个国家和地区代表团报名，人工智能和绿色低碳企业将集中亮相，金融专区扩容，具备后续事件催化窗口。</w:t>
      </w:r>
    </w:p>
    <w:p>
      <w:pPr>
        <w:numPr>
          <w:ilvl w:val="0"/>
          <w:numId w:val="1011"/>
        </w:numPr>
        <w:pStyle w:val="Compact"/>
      </w:pPr>
      <w:r>
        <w:t xml:space="preserve">验证条件：关注参展项目、签约金额及龙头资金表现；会前炒作过度或签约不及预期则失效。</w:t>
      </w:r>
    </w:p>
    <w:p>
      <w:pPr>
        <w:pStyle w:val="Heading4"/>
      </w:pPr>
      <w:bookmarkStart w:id="34" w:name="首批国家公园生态系统质量和旗舰物种数量实现双提升"/>
      <w:r>
        <w:t xml:space="preserve">首批国家公园生态系统质量和旗舰物种数量实现双提升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A股影响：中性偏利好</w:t>
      </w:r>
    </w:p>
    <w:p>
      <w:pPr>
        <w:numPr>
          <w:ilvl w:val="0"/>
          <w:numId w:val="1012"/>
        </w:numPr>
        <w:pStyle w:val="Compact"/>
      </w:pPr>
      <w:r>
        <w:t xml:space="preserve">相关板块：生态修复、林业、环境监测</w:t>
      </w:r>
    </w:p>
    <w:p>
      <w:pPr>
        <w:numPr>
          <w:ilvl w:val="0"/>
          <w:numId w:val="1012"/>
        </w:numPr>
        <w:pStyle w:val="Compact"/>
      </w:pPr>
      <w:r>
        <w:t xml:space="preserve">核心解读：国家公园生态修复与监测投入具有长期需求，但本条未披露新增资本开支或订单。</w:t>
      </w:r>
    </w:p>
    <w:p>
      <w:pPr>
        <w:numPr>
          <w:ilvl w:val="0"/>
          <w:numId w:val="1012"/>
        </w:numPr>
        <w:pStyle w:val="Compact"/>
      </w:pPr>
      <w:r>
        <w:t xml:space="preserve">验证条件：需见专项资金、招投标或订单落地；无增量项目时不构成主线。</w:t>
      </w:r>
    </w:p>
    <w:p>
      <w:pPr>
        <w:pStyle w:val="Heading4"/>
      </w:pPr>
      <w:bookmarkStart w:id="35" w:name="国内联播快讯"/>
      <w:r>
        <w:t xml:space="preserve">国内联播快讯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A股影响：偏利好</w:t>
      </w:r>
    </w:p>
    <w:p>
      <w:pPr>
        <w:numPr>
          <w:ilvl w:val="0"/>
          <w:numId w:val="1013"/>
        </w:numPr>
        <w:pStyle w:val="Compact"/>
      </w:pPr>
      <w:r>
        <w:t xml:space="preserve">相关板块：园林生态、充电桩、电网设备、医疗IT、粮食安全、基建、防灾减灾</w:t>
      </w:r>
    </w:p>
    <w:p>
      <w:pPr>
        <w:numPr>
          <w:ilvl w:val="0"/>
          <w:numId w:val="1013"/>
        </w:numPr>
        <w:pStyle w:val="Compact"/>
      </w:pPr>
      <w:r>
        <w:t xml:space="preserve">核心解读：口袋公园、充电设施2,368.3万个、个人医保云、APEC粮食安全合作及黄河隧道通车提供多条产业线索；台风与暴雨则带来区域运营风险。</w:t>
      </w:r>
    </w:p>
    <w:p>
      <w:pPr>
        <w:numPr>
          <w:ilvl w:val="0"/>
          <w:numId w:val="1013"/>
        </w:numPr>
        <w:pStyle w:val="Compact"/>
      </w:pPr>
      <w:r>
        <w:t xml:space="preserve">验证条件：充电桩与医疗IT需订单和业绩确认；防灾方向需观察灾情及政策响应，禁止仅凭天气追涨。</w:t>
      </w:r>
    </w:p>
    <w:p>
      <w:pPr>
        <w:pStyle w:val="Heading4"/>
      </w:pPr>
      <w:bookmarkStart w:id="36" w:name="美宣布对伊朗实施新一轮制裁措施-伊朗称美国将再遭失败"/>
      <w:r>
        <w:t xml:space="preserve">美宣布对伊朗实施新一轮制裁措施 伊朗称美国将再遭失败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相关板块：航运、油气、黄金可能受益；航空、外贸与风险资产承压</w:t>
      </w:r>
    </w:p>
    <w:p>
      <w:pPr>
        <w:numPr>
          <w:ilvl w:val="0"/>
          <w:numId w:val="1014"/>
        </w:numPr>
        <w:pStyle w:val="Compact"/>
      </w:pPr>
      <w:r>
        <w:t xml:space="preserve">核心解读：制裁扩大至航空、数字资产、黄金、航运和技术，地缘溢价可能抬升，但WTI盘前仍跌1.74%，方向存在分歧。</w:t>
      </w:r>
    </w:p>
    <w:p>
      <w:pPr>
        <w:numPr>
          <w:ilvl w:val="0"/>
          <w:numId w:val="1014"/>
        </w:numPr>
        <w:pStyle w:val="Compact"/>
      </w:pPr>
      <w:r>
        <w:t xml:space="preserve">验证条件：观察原油、黄金、航运费率与相关板块是否同向；若商品价格不响应，事件交易降级。</w:t>
      </w:r>
    </w:p>
    <w:p>
      <w:pPr>
        <w:pStyle w:val="Heading4"/>
      </w:pPr>
      <w:bookmarkStart w:id="37" w:name="美威胁进一步提高对加关税-加称不接受不平等双边关系"/>
      <w:r>
        <w:t xml:space="preserve">美威胁进一步提高对加关税 加称不接受不平等双边关系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A股影响：偏利空</w:t>
      </w:r>
    </w:p>
    <w:p>
      <w:pPr>
        <w:numPr>
          <w:ilvl w:val="0"/>
          <w:numId w:val="1015"/>
        </w:numPr>
        <w:pStyle w:val="Compact"/>
      </w:pPr>
      <w:r>
        <w:t xml:space="preserve">相关板块：汽车零部件、钢铁、关键矿产、出口链</w:t>
      </w:r>
    </w:p>
    <w:p>
      <w:pPr>
        <w:numPr>
          <w:ilvl w:val="0"/>
          <w:numId w:val="1015"/>
        </w:numPr>
        <w:pStyle w:val="Compact"/>
      </w:pPr>
      <w:r>
        <w:t xml:space="preserve">核心解读：关税威胁涉及加拿大汽车、零部件和钢铁，但白宫尚未发布正式公告，当前属于高不确定性预期冲击。</w:t>
      </w:r>
    </w:p>
    <w:p>
      <w:pPr>
        <w:numPr>
          <w:ilvl w:val="0"/>
          <w:numId w:val="1015"/>
        </w:numPr>
        <w:pStyle w:val="Compact"/>
      </w:pPr>
      <w:r>
        <w:t xml:space="preserve">验证条件：以正式公告、实施范围和产业链价格为准；威胁未落地则不做强结论。</w:t>
      </w:r>
    </w:p>
    <w:p>
      <w:pPr>
        <w:pStyle w:val="Heading4"/>
      </w:pPr>
      <w:bookmarkStart w:id="38" w:name="英首相称已批准与乌分享导弹制造技术-俄称将摧毁相关目标"/>
      <w:r>
        <w:t xml:space="preserve">英首相称已批准与乌分享导弹制造技术 俄称将摧毁相关目标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A股影响：偏利空</w:t>
      </w:r>
    </w:p>
    <w:p>
      <w:pPr>
        <w:numPr>
          <w:ilvl w:val="0"/>
          <w:numId w:val="1016"/>
        </w:numPr>
        <w:pStyle w:val="Compact"/>
      </w:pPr>
      <w:r>
        <w:t xml:space="preserve">相关板块：军工可能事件驱动；欧洲风险资产、能源和航运承压</w:t>
      </w:r>
    </w:p>
    <w:p>
      <w:pPr>
        <w:numPr>
          <w:ilvl w:val="0"/>
          <w:numId w:val="1016"/>
        </w:numPr>
        <w:pStyle w:val="Compact"/>
      </w:pPr>
      <w:r>
        <w:t xml:space="preserve">核心解读：导弹制造技术分享加剧冲突升级预期，军工方向可能获得风险溢价，但高位题材追涨风险同步上升。</w:t>
      </w:r>
    </w:p>
    <w:p>
      <w:pPr>
        <w:numPr>
          <w:ilvl w:val="0"/>
          <w:numId w:val="1016"/>
        </w:numPr>
        <w:pStyle w:val="Compact"/>
      </w:pPr>
      <w:r>
        <w:t xml:space="preserve">验证条件：观察冲突进展、军工板块量价及龙头承接；若局势缓和或板块冲高回落，立即降级。</w:t>
      </w:r>
    </w:p>
    <w:p>
      <w:pPr>
        <w:pStyle w:val="Heading4"/>
      </w:pPr>
      <w:bookmarkStart w:id="39" w:name="国际联播快讯"/>
      <w:r>
        <w:t xml:space="preserve">国际联播快讯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A股影响：偏利空</w:t>
      </w:r>
    </w:p>
    <w:p>
      <w:pPr>
        <w:numPr>
          <w:ilvl w:val="0"/>
          <w:numId w:val="1017"/>
        </w:numPr>
        <w:pStyle w:val="Compact"/>
      </w:pPr>
      <w:r>
        <w:t xml:space="preserve">相关板块：油气、航运、化肥、防灾减灾、农业</w:t>
      </w:r>
    </w:p>
    <w:p>
      <w:pPr>
        <w:numPr>
          <w:ilvl w:val="0"/>
          <w:numId w:val="1017"/>
        </w:numPr>
        <w:pStyle w:val="Compact"/>
      </w:pPr>
      <w:r>
        <w:t xml:space="preserve">核心解读：霍尔木兹和曼德海峡航运阻断、红海油轮遇袭强化供应链风险；海温创新高与法国极端天气提升气候风险关注。</w:t>
      </w:r>
    </w:p>
    <w:p>
      <w:pPr>
        <w:numPr>
          <w:ilvl w:val="0"/>
          <w:numId w:val="1017"/>
        </w:numPr>
        <w:pStyle w:val="Compact"/>
      </w:pPr>
      <w:r>
        <w:t xml:space="preserve">验证条件：观察运价、油价、化肥价格及保险成本；若商品与运价未上涨，事件仅作风险监控。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重要公告"/>
      <w:r>
        <w:t xml:space="preserve">📋 今日重要公告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</w:t>
      </w:r>
      <w:r>
        <w:t xml:space="preserve">：东方财富公告源返回 HTTP 567，增减持、解禁、业绩预告/快报、停复牌、重组及监管问询榜单均未成功采集。</w:t>
      </w:r>
    </w:p>
    <w:p>
      <w:pPr>
        <w:numPr>
          <w:ilvl w:val="0"/>
          <w:numId w:val="1018"/>
        </w:numPr>
        <w:pStyle w:val="Compact"/>
      </w:pPr>
      <w:r>
        <w:t xml:space="preserve">🚫 本报告不使用搜索结果或华泰文本替代结构化公告源，也不把</w:t>
      </w:r>
      <w:r>
        <w:t xml:space="preserve">“</w:t>
      </w:r>
      <w:r>
        <w:t xml:space="preserve">没有采集到</w:t>
      </w:r>
      <w:r>
        <w:t xml:space="preserve">”</w:t>
      </w:r>
      <w:r>
        <w:t xml:space="preserve">写成</w:t>
      </w:r>
      <w:r>
        <w:t xml:space="preserve">“</w:t>
      </w:r>
      <w:r>
        <w:t xml:space="preserve">没有重要公告</w:t>
      </w:r>
      <w:r>
        <w:t xml:space="preserve">”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💡 开盘前执行项：持仓与候选股须先核对交易所正式公告；若出现业绩预警、减持、监管问询或停复牌，原策略自动失效。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今日经济数据与事件"/>
      <w:r>
        <w:t xml:space="preserve">📅 今日经济数据与事件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国内经济数据日历</w:t>
      </w:r>
      <w:r>
        <w:t xml:space="preserve">：采集 JSON 未提供 CPI、PPI、PMI、社融、M2、MLF、LPR或逆回购的今日发布安排，统一标为未核验。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海外经济日历</w:t>
      </w:r>
      <w:r>
        <w:t xml:space="preserve">：采集 JSON 未提供可核验的今日发布时间与预期值；华泰文本提及海外央行会议和科技公司财报窗口，但缺乏结构化日历交叉确认，仅作风险线索，不写具体时点与数值。</w:t>
      </w:r>
    </w:p>
    <w:p>
      <w:pPr>
        <w:numPr>
          <w:ilvl w:val="0"/>
          <w:numId w:val="1019"/>
        </w:numPr>
        <w:pStyle w:val="Compact"/>
      </w:pPr>
      <w:r>
        <w:t xml:space="preserve">💡 交易要求：任何宏观数据或重大财报发布前后，成长方向降低追价；以正式日历和公告确认后再调整仓位。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全球重要事件"/>
      <w:r>
        <w:t xml:space="preserve">🌍 全球重要事件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中东制裁与航运阻断</w:t>
      </w:r>
      <w:r>
        <w:t xml:space="preserve">：美国扩大对伊朗制裁，霍尔木兹与曼德海峡航运受阻，红海油轮遇袭。可能抬升航运、油气、黄金波动，但WTI当前下跌1.74%，事件与价格暂未共振。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俄乌冲突升级线索</w:t>
      </w:r>
      <w:r>
        <w:t xml:space="preserve">：英国批准与乌分享导弹制造技术，俄罗斯称将打击相关目标。军工或出现脉冲，欧洲风险偏好可能受压。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北美贸易摩擦</w:t>
      </w:r>
      <w:r>
        <w:t xml:space="preserve">：美国对加拿大汽车、零部件和钢铁提出50%关税威胁，但尚无白宫正式公告；出口链先按风险观察，不提前定价为既成事实。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极端天气</w:t>
      </w:r>
      <w:r>
        <w:t xml:space="preserve">：台风</w:t>
      </w:r>
      <w:r>
        <w:t xml:space="preserve">“</w:t>
      </w:r>
      <w:r>
        <w:t xml:space="preserve">紫檀</w:t>
      </w:r>
      <w:r>
        <w:t xml:space="preserve">”</w:t>
      </w:r>
      <w:r>
        <w:t xml:space="preserve">、南方暴雨与全球海温高位增加农业、交通、能源和供应链不确定性。</w:t>
      </w:r>
    </w:p>
    <w:p>
      <w:pPr>
        <w:numPr>
          <w:ilvl w:val="0"/>
          <w:numId w:val="102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国际合作窗口</w:t>
      </w:r>
      <w:r>
        <w:t xml:space="preserve">：9月投洽会将聚焦人工智能、绿色低碳和跨境投资，相关方向可做事件日历跟踪，但今日不据此追涨。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昨日复盘要点"/>
      <w:r>
        <w:t xml:space="preserve">📊 昨日复盘要点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📈 上证指数 3,889.4449，涨 0.1916%；📉 深证成指 13,745.869，跌 0.3510%；📉 创业板指 3,397.515，跌 1.0015%；📈 科创50涨 0.1408%；沪深300跌 0.2431%。新浪、东方财富、腾讯三源点位和涨跌幅校验状态均为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📈 同花顺单源显示上涨 4,234 家、下跌 1,245 家、平盘 67 家、涨停 70 家、跌停 4 家，广度明显偏强；因缺少第二来源，须标注单源。</w:t>
      </w:r>
    </w:p>
    <w:p>
      <w:pPr>
        <w:numPr>
          <w:ilvl w:val="0"/>
          <w:numId w:val="1021"/>
        </w:numPr>
        <w:pStyle w:val="Compact"/>
      </w:pPr>
      <w:r>
        <w:t xml:space="preserve">💰 同花顺单源确认全市场成交额 18,442.78 亿元；前值字段为 20,212.14 亿元、原始变动 -1,769.37 亿元，但比较口径为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，因此不使用成交额变化百分比，也不把两者直接定义为严格同口径缩量。</w:t>
      </w:r>
    </w:p>
    <w:p>
      <w:pPr>
        <w:numPr>
          <w:ilvl w:val="0"/>
          <w:numId w:val="1021"/>
        </w:numPr>
        <w:pStyle w:val="Compact"/>
      </w:pPr>
      <w:r>
        <w:t xml:space="preserve">🎭 指数与广度背离：多数个股上涨，但创业板与深成指收跌，说明市场偏结构修复而非全面趋势上行。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资金流入TOP10、资金流出TOP10、板块涨跌榜、活跃股与涨跌停样本</w:t>
      </w:r>
      <w:r>
        <w:t xml:space="preserve">：采集失败，均为未核验；不得据此宣称某板块是昨日真实资金主线。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资金流向与数据缺口"/>
      <w:r>
        <w:t xml:space="preserve">💰 资金流向与数据缺口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主力资金流入TOP10：未核验</w:t>
      </w:r>
      <w:r>
        <w:t xml:space="preserve">（东方财富 money_flow 返回 HTTP 502，采集 JSON 无真实榜单）。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主力资金流出TOP10：未核验</w:t>
      </w:r>
      <w:r>
        <w:t xml:space="preserve">（同上）。</w:t>
      </w:r>
    </w:p>
    <w:p>
      <w:pPr>
        <w:numPr>
          <w:ilvl w:val="0"/>
          <w:numId w:val="1022"/>
        </w:numPr>
        <w:pStyle w:val="Compact"/>
      </w:pPr>
      <w:r>
        <w:t xml:space="preserve">🚫 不使用华泰自然语言分析或搜索引擎数据补写TOP10，也不以板块涨幅代替资金净流入。</w:t>
      </w:r>
    </w:p>
    <w:p>
      <w:pPr>
        <w:numPr>
          <w:ilvl w:val="0"/>
          <w:numId w:val="1022"/>
        </w:numPr>
        <w:pStyle w:val="Compact"/>
      </w:pPr>
      <w:r>
        <w:t xml:space="preserve">💡 今日确认门槛：开盘后只有当板块涨幅、成交额、主力资金和核心股量价至少三项共振，才可由</w:t>
      </w:r>
      <w:r>
        <w:t xml:space="preserve">“</w:t>
      </w:r>
      <w:r>
        <w:t xml:space="preserve">观察</w:t>
      </w:r>
      <w:r>
        <w:t xml:space="preserve">”</w:t>
      </w:r>
      <w:r>
        <w:t xml:space="preserve">升级为</w:t>
      </w:r>
      <w:r>
        <w:t xml:space="preserve">“</w:t>
      </w:r>
      <w:r>
        <w:t xml:space="preserve">参与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今日操作策略"/>
      <w:r>
        <w:t xml:space="preserve">🎯 今日操作策略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市场预判</w:t>
      </w:r>
      <w:r>
        <w:t xml:space="preserve">：震荡/均衡。A50偏强、昨日上涨家数占优，但指数分化且关键板块/资金数据缺失，适合条件交易，不适合盘前预设单一主线。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总仓位上限</w:t>
      </w:r>
      <w:r>
        <w:t xml:space="preserve">：激进 60%、稳健 45%、保守 30%，采用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；不因成交额前值差异扩大仓位，因为比较口径未核验。</w:t>
      </w:r>
    </w:p>
    <w:p>
      <w:pPr>
        <w:numPr>
          <w:ilvl w:val="0"/>
          <w:numId w:val="1023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</w:t>
      </w:r>
      <w:r>
        <w:t xml:space="preserve">：最多60%，仅做开盘后资金与成交共振的方向；单一标的不追高，冲高无量或龙头跌回开盘价则降仓。</w:t>
      </w:r>
    </w:p>
    <w:p>
      <w:pPr>
        <w:numPr>
          <w:ilvl w:val="0"/>
          <w:numId w:val="102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稳健</w:t>
      </w:r>
      <w:r>
        <w:t xml:space="preserve">：最多45%，优先高股息底仓与政策/订单可验证方向；等指数企稳、板块资金转强后分批参与。</w:t>
      </w:r>
    </w:p>
    <w:p>
      <w:pPr>
        <w:numPr>
          <w:ilvl w:val="0"/>
          <w:numId w:val="1023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</w:t>
      </w:r>
      <w:r>
        <w:t xml:space="preserve">：最多30%，以现金和低波动底仓为主；资金榜、板块榜恢复前不做题材扩张。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核心风险</w:t>
      </w:r>
      <w:r>
        <w:t xml:space="preserve">：关键数据源覆盖率仅42.86%、公告未核验、海外科技行情未核验、地缘与贸易摩擦升级、指数与个股广度背离。</w:t>
      </w:r>
    </w:p>
    <w:p>
      <w:pPr>
        <w:pStyle w:val="Heading3"/>
      </w:pPr>
      <w:bookmarkStart w:id="46" w:name="盘前关注股仅观察不构成确认推荐"/>
      <w:r>
        <w:t xml:space="preserve">🔥 盘前关注股（仅观察，不构成确认推荐）</w:t>
      </w:r>
      <w:bookmarkEnd w:id="46"/>
    </w:p>
    <w:p>
      <w:pPr>
        <w:numPr>
          <w:ilvl w:val="0"/>
          <w:numId w:val="1024"/>
        </w:numPr>
        <w:pStyle w:val="Compact"/>
      </w:pPr>
      <w:r>
        <w:t xml:space="preserve">601398 工商银行：高股息国有大行、防御底仓线索；最新可得价7.90元，涨0.13%。</w:t>
      </w:r>
    </w:p>
    <w:p>
      <w:pPr>
        <w:numPr>
          <w:ilvl w:val="0"/>
          <w:numId w:val="1024"/>
        </w:numPr>
        <w:pStyle w:val="Compact"/>
      </w:pPr>
      <w:r>
        <w:t xml:space="preserve">603466 风语筑：数字文旅/数字内容方向；最新可得价11.14元，涨1.09%，与公共数据开放仅为弱关联，不强行拔高。</w:t>
      </w:r>
    </w:p>
    <w:p>
      <w:pPr>
        <w:numPr>
          <w:ilvl w:val="0"/>
          <w:numId w:val="1024"/>
        </w:numPr>
        <w:pStyle w:val="Compact"/>
      </w:pPr>
      <w:r>
        <w:t xml:space="preserve">603185 弘元绿能：光伏硅片/设备链；最新可得价16.42元，跌0.67%，当前政策主线共振不足。</w:t>
      </w:r>
    </w:p>
    <w:p>
      <w:pPr>
        <w:numPr>
          <w:ilvl w:val="0"/>
          <w:numId w:val="1024"/>
        </w:numPr>
        <w:pStyle w:val="Compact"/>
      </w:pPr>
      <w:r>
        <w:t xml:space="preserve">603383 顶点软件：华泰选股给出的金融IT候选，仅有文本线索且无本地行情交叉验证，必须等开盘量价确认。</w:t>
      </w:r>
    </w:p>
    <w:p>
      <w:pPr>
        <w:numPr>
          <w:ilvl w:val="0"/>
          <w:numId w:val="1024"/>
        </w:numPr>
        <w:pStyle w:val="Compact"/>
      </w:pPr>
      <w:r>
        <w:t xml:space="preserve">600615 鑫源智造：华泰选股给出的镁铝合金/机器人候选，仅作低置信度观察，不据文本理由追涨。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今日重点投资方向"/>
      <w:r>
        <w:t xml:space="preserve">🎯 今日重点投资方向</w:t>
      </w:r>
      <w:bookmarkEnd w:id="47"/>
    </w:p>
    <w:p>
      <w:pPr>
        <w:pStyle w:val="BlockText"/>
      </w:pPr>
      <w:r>
        <w:t xml:space="preserve">由于资金流、板块表现、活跃股和涨跌停样本均缺失，以下均为</w:t>
      </w:r>
      <w:r>
        <w:t xml:space="preserve">“</w:t>
      </w:r>
      <w:r>
        <w:t xml:space="preserve">盘前条件预案</w:t>
      </w:r>
      <w:r>
        <w:t xml:space="preserve">”</w:t>
      </w:r>
      <w:r>
        <w:t xml:space="preserve">，不是对昨日真实主线的确认。</w:t>
      </w:r>
    </w:p>
    <w:p>
      <w:pPr>
        <w:pStyle w:val="Heading3"/>
      </w:pPr>
      <w:bookmarkStart w:id="48" w:name="方向一公共数据开放数据安全政务it医疗信息化优先级中"/>
      <w:r>
        <w:t xml:space="preserve">🚀 方向一：公共数据开放—数据安全/政务IT/医疗信息化（优先级：中）</w:t>
      </w:r>
      <w:bookmarkEnd w:id="48"/>
    </w:p>
    <w:p>
      <w:pPr>
        <w:numPr>
          <w:ilvl w:val="0"/>
          <w:numId w:val="102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：新闻联播确认6类数据安全技术试点；国家层面150个公共数据示范场景；全国一体化政务数据共享调用超5500亿次；</w:t>
      </w:r>
      <w:r>
        <w:t xml:space="preserve">“</w:t>
      </w:r>
      <w:r>
        <w:t xml:space="preserve">十五五</w:t>
      </w:r>
      <w:r>
        <w:t xml:space="preserve">”</w:t>
      </w:r>
      <w:r>
        <w:t xml:space="preserve">个人医保云提供医疗数据应用线索。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缺失证据</w:t>
      </w:r>
      <w:r>
        <w:t xml:space="preserve">：板块涨幅、主力资金、成交额及龙头行情均未核验，证据链目前偏政策端。</w:t>
      </w:r>
    </w:p>
    <w:p>
      <w:pPr>
        <w:numPr>
          <w:ilvl w:val="0"/>
          <w:numId w:val="102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：顶点软件（华泰候选、金融IT线索）；风语筑（数字内容/文旅，和公共数据并非直接同链，仅作扩散观察）。两者均缺少本地行情交叉校验。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：激进者只在板块放量、资金净流入且核心股不炸板时小仓试错；稳健者等首个放量回踩承接；保守者等待订单或中报验证。</w:t>
      </w:r>
    </w:p>
    <w:p>
      <w:pPr>
        <w:numPr>
          <w:ilvl w:val="0"/>
          <w:numId w:val="102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：数据要素/政务IT板块开盘后成交放大、资金持续净流入，至少两只高辨识度标的同步走强。</w:t>
      </w:r>
    </w:p>
    <w:p>
      <w:pPr>
        <w:numPr>
          <w:ilvl w:val="0"/>
          <w:numId w:val="102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：板块冲高回落、资金转净流出、候选股跌破开盘价且无承接，或政策线索未转化为订单。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：商业模式兑现慢、题材先行、业绩与估值不匹配。</w:t>
      </w:r>
    </w:p>
    <w:p>
      <w:pPr>
        <w:pStyle w:val="Heading3"/>
      </w:pPr>
      <w:bookmarkStart w:id="49" w:name="方向二交通基建港口物流工程机械优先级中"/>
      <w:r>
        <w:t xml:space="preserve">📈 方向二：交通基建—港口物流/工程机械（优先级：中）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：前7个月营业性货运量329.7亿吨、同比增长2.8%；港口货物吞吐量105.6亿吨、同比增长1.3%；交通固定资产投资18,152亿元，多项重点工程开工加快。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缺失证据</w:t>
      </w:r>
      <w:r>
        <w:t xml:space="preserve">：对应A股板块资金、成交额、活跃股与订单公告未核验。</w:t>
      </w:r>
    </w:p>
    <w:p>
      <w:pPr>
        <w:numPr>
          <w:ilvl w:val="0"/>
          <w:numId w:val="102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：本轮采集没有经过行情校验的行业核心股，不强行列出虚假龙头；开盘后从有正式订单、成交放量且资金净流入的行业龙头中筛选。</w:t>
      </w:r>
    </w:p>
    <w:p>
      <w:pPr>
        <w:numPr>
          <w:ilvl w:val="0"/>
          <w:numId w:val="102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：激进者等板块突破并放量后参与最强订单股；稳健者关注回踩不破开盘价的央国企龙头；保守者等待订单公告和中报现金流确认。</w:t>
      </w:r>
    </w:p>
    <w:p>
      <w:pPr>
        <w:numPr>
          <w:ilvl w:val="0"/>
          <w:numId w:val="102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：工程机械、港口或交通基建至少一个细分板块进入资金流入前列，且成交额同步扩张。</w:t>
      </w:r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：板块无量冲高、项目回款担忧升温、主力资金转流出。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：项目周期长、应收账款、地方财政和极端天气扰动施工进度。</w:t>
      </w:r>
    </w:p>
    <w:p>
      <w:pPr>
        <w:pStyle w:val="Heading3"/>
      </w:pPr>
      <w:bookmarkStart w:id="50" w:name="方向三国有大行高股息防御优先级观察至中"/>
      <w:r>
        <w:t xml:space="preserve">🛡️ 方向三：国有大行—高股息防御（优先级：观察至中）</w:t>
      </w:r>
      <w:bookmarkEnd w:id="50"/>
    </w:p>
    <w:p>
      <w:pPr>
        <w:numPr>
          <w:ilvl w:val="0"/>
          <w:numId w:val="102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：昨日上证指数上涨0.1916%，创业板下跌1.0015%，风格偏分化；地缘与贸易风险增加防御需求；自选股工商银行最新可得价7.90元、涨0.13%。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缺失证据</w:t>
      </w:r>
      <w:r>
        <w:t xml:space="preserve">：银行板块涨幅、资金净流入及农业银行最新行情未核验，当前仅能建立防御预案。</w:t>
      </w:r>
    </w:p>
    <w:p>
      <w:pPr>
        <w:numPr>
          <w:ilvl w:val="0"/>
          <w:numId w:val="102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：工商银行（已取得华泰补充行情）；农业银行（用户持仓，但最新价未取得，条件式跟踪）。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：激进者不把银行当高弹性进攻；稳健者可作为组合底仓；保守者仅在指数波动放大且银行相对强势时持有，不追涨。</w:t>
      </w:r>
    </w:p>
    <w:p>
      <w:pPr>
        <w:numPr>
          <w:ilvl w:val="0"/>
          <w:numId w:val="102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：银行指数相对沪深300走强、成交放大且两只大行守住开盘价。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：银行板块放量补跌、工商银行跌破7.89元昨收后无法收回，或出现未核验的重大利空公告。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：利率与息差压力、风格切换、分红除息后价格波动。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华泰自选股观察"/>
      <w:r>
        <w:t xml:space="preserve">🧾 华泰自选股观察</w:t>
      </w:r>
      <w:bookmarkEnd w:id="51"/>
    </w:p>
    <w:p>
      <w:pPr>
        <w:pStyle w:val="FirstParagraph"/>
      </w:pPr>
      <w:r>
        <w:t xml:space="preserve">自选股共3只，已取得3只补充行情。华泰仅为补充源；本轮个股新浪/东方财富/腾讯交叉校验失败，因此价格按单源使用。整体上，工商银行偏防御，风语筑偏弹性观察，弘元绿能偏弱；三者均未与已确认的资金主线完成共振验证。</w:t>
      </w:r>
    </w:p>
    <w:p>
      <w:pPr>
        <w:numPr>
          <w:ilvl w:val="0"/>
          <w:numId w:val="102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：最新可得价16.42元，较昨收16.53元跌0.67%。所属光伏硅片/新能源方向；本轮无光伏板块表现、资金流和个股多源校验，和当日已确认政策线索无明显共振。</w:t>
      </w:r>
      <w:r>
        <w:rPr>
          <w:b/>
        </w:rPr>
        <w:t xml:space="preserve">结论：偏弱，以跟踪为主、暂不作为主攻方向；不追高，先看能否收复16.53元。</w:t>
      </w:r>
    </w:p>
    <w:p>
      <w:pPr>
        <w:numPr>
          <w:ilvl w:val="0"/>
          <w:numId w:val="102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：最新可得价11.14元，较昨收11.02元涨1.09%。所属数字文旅/数字内容方向；与公共数据开放只有泛数字经济关联，不能等同于数据要素核心受益股。</w:t>
      </w:r>
      <w:r>
        <w:rPr>
          <w:b/>
        </w:rPr>
        <w:t xml:space="preserve">结论：继续观察；若放量守住11.02元可低吸跟踪，冲高无量不追。</w:t>
      </w:r>
    </w:p>
    <w:p>
      <w:pPr>
        <w:numPr>
          <w:ilvl w:val="0"/>
          <w:numId w:val="102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：最新可得价7.90元，较昨收7.89元涨0.13%。所属国有大行/高股息红利方向；与指数分化及外部风险环境形成防御共振，但缺少银行板块资金确认。</w:t>
      </w:r>
      <w:r>
        <w:rPr>
          <w:b/>
        </w:rPr>
        <w:t xml:space="preserve">结论：偏稳健持有，不追高；跌破7.89元且无法快速收回时转谨慎。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2" w:name="用户实盘持仓策略"/>
      <w:r>
        <w:t xml:space="preserve">💼 用户实盘持仓策略</w:t>
      </w:r>
      <w:bookmarkEnd w:id="52"/>
    </w:p>
    <w:p>
      <w:pPr>
        <w:pStyle w:val="BlockText"/>
      </w:pPr>
      <w:r>
        <w:t xml:space="preserve">行情说明：弘元绿能、风语筑、工商银行使用华泰单源最新可得行情；农业银行未取得可核验最新价。近5日趋势、成交量、技术支撑阻力及个股公告均未成功采集，不能虚构；以下以成本、昨收和条件触发策略为主。</w:t>
      </w:r>
    </w:p>
    <w:p>
      <w:pPr>
        <w:pStyle w:val="Heading3"/>
      </w:pPr>
      <w:bookmarkStart w:id="53" w:name="弘元绿能603185.sh-300股成本26.6669元"/>
      <w:r>
        <w:t xml:space="preserve">📉 弘元绿能（603185.SH）— 300股，成本26.6669元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💰 最新可得价16.42元；按该价计算浮亏</w:t>
      </w:r>
      <w:r>
        <w:t xml:space="preserve"> </w:t>
      </w:r>
      <w:r>
        <w:rPr>
          <w:b/>
        </w:rPr>
        <w:t xml:space="preserve">38.43%</w:t>
      </w:r>
      <w:r>
        <w:t xml:space="preserve">，浮亏</w:t>
      </w:r>
      <w:r>
        <w:t xml:space="preserve"> </w:t>
      </w:r>
      <w:r>
        <w:rPr>
          <w:b/>
        </w:rPr>
        <w:t xml:space="preserve">3,074.07元</w:t>
      </w:r>
      <w:r>
        <w:t xml:space="preserve">，持仓市值4,926.00元。</w:t>
      </w:r>
    </w:p>
    <w:p>
      <w:pPr>
        <w:numPr>
          <w:ilvl w:val="0"/>
          <w:numId w:val="1029"/>
        </w:numPr>
        <w:pStyle w:val="Compact"/>
      </w:pPr>
      <w:r>
        <w:t xml:space="preserve">📊 所属光伏硅片/新能源；最新表现跌0.67%，本轮与已确认政策主线无明显共振，趋势和量价未核验。</w:t>
      </w:r>
    </w:p>
    <w:p>
      <w:pPr>
        <w:numPr>
          <w:ilvl w:val="0"/>
          <w:numId w:val="102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今日动作：减仓观察</w:t>
      </w:r>
      <w:r>
        <w:t xml:space="preserve">。不是因</w:t>
      </w:r>
      <w:r>
        <w:t xml:space="preserve">“</w:t>
      </w:r>
      <w:r>
        <w:t xml:space="preserve">离成本远</w:t>
      </w:r>
      <w:r>
        <w:t xml:space="preserve">”</w:t>
      </w:r>
      <w:r>
        <w:t xml:space="preserve">而机械卖出，而是当前单源价格偏弱、板块资金和基本面均未获确认；反弹应优先检验承接而非无条件摊薄。</w:t>
      </w:r>
    </w:p>
    <w:p>
      <w:pPr>
        <w:numPr>
          <w:ilvl w:val="0"/>
          <w:numId w:val="102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：跌破16.53元昨收后持续走弱，且开盘后光伏板块资金净流出或个股放量下跌；若出现业绩、减持或监管利空公告，原策略立即失效并优先风控。</w:t>
      </w:r>
    </w:p>
    <w:p>
      <w:pPr>
        <w:numPr>
          <w:ilvl w:val="0"/>
          <w:numId w:val="102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：仅在放量收复16.53元、光伏板块同步转强、资金连续净流入且个股公告无重大风险时，小仓分批验证；不满足条件不加仓。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：光伏价格竞争、盈利修复不及预期、单源行情误差、深套后情绪化补仓。</w:t>
      </w:r>
    </w:p>
    <w:p>
      <w:pPr>
        <w:pStyle w:val="Heading3"/>
      </w:pPr>
      <w:bookmarkStart w:id="54" w:name="风语筑603466.sh-700股成本13.2159元"/>
      <w:r>
        <w:t xml:space="preserve">📈 风语筑（603466.SH）— 700股，成本13.2159元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💰 最新可得价11.14元；按该价计算浮亏</w:t>
      </w:r>
      <w:r>
        <w:t xml:space="preserve"> </w:t>
      </w:r>
      <w:r>
        <w:rPr>
          <w:b/>
        </w:rPr>
        <w:t xml:space="preserve">15.71%</w:t>
      </w:r>
      <w:r>
        <w:t xml:space="preserve">，浮亏</w:t>
      </w:r>
      <w:r>
        <w:t xml:space="preserve"> </w:t>
      </w:r>
      <w:r>
        <w:rPr>
          <w:b/>
        </w:rPr>
        <w:t xml:space="preserve">1,453.13元</w:t>
      </w:r>
      <w:r>
        <w:t xml:space="preserve">，持仓市值7,798.00元。</w:t>
      </w:r>
    </w:p>
    <w:p>
      <w:pPr>
        <w:numPr>
          <w:ilvl w:val="0"/>
          <w:numId w:val="1030"/>
        </w:numPr>
        <w:pStyle w:val="Compact"/>
      </w:pPr>
      <w:r>
        <w:t xml:space="preserve">📊 所属数字文旅/数字内容；最新涨1.09%。公共数据开放对其仅构成泛数字经济情绪映射，不能作为直接订单证据；趋势与成交量未核验。</w:t>
      </w:r>
    </w:p>
    <w:p>
      <w:pPr>
        <w:numPr>
          <w:ilvl w:val="0"/>
          <w:numId w:val="103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今日动作：持有观察，冲高弱承接可减仓</w:t>
      </w:r>
      <w:r>
        <w:t xml:space="preserve">。现阶段不以13.2159元回本价为唯一决策点。</w:t>
      </w:r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：跌回11.02元昨收下方且无法收回，或冲高后放量长上影、数字经济板块资金转流出；重大利空公告出现时退出原预案。</w:t>
      </w:r>
    </w:p>
    <w:p>
      <w:pPr>
        <w:numPr>
          <w:ilvl w:val="0"/>
          <w:numId w:val="103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：放量站稳11.14元并出现板块资金、成交额与核心股联动，回踩11.02元不破后才可小仓跟踪。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：题材关联被市场证伪、订单兑现不足、反弹缩量、公告未核验。</w:t>
      </w:r>
    </w:p>
    <w:p>
      <w:pPr>
        <w:pStyle w:val="Heading3"/>
      </w:pPr>
      <w:bookmarkStart w:id="55" w:name="工商银行601398.sh-1900股成本7.0601元"/>
      <w:r>
        <w:t xml:space="preserve">🛡️ 工商银行（601398.SH）— 1900股，成本7.0601元</w:t>
      </w:r>
      <w:bookmarkEnd w:id="55"/>
    </w:p>
    <w:p>
      <w:pPr>
        <w:numPr>
          <w:ilvl w:val="0"/>
          <w:numId w:val="1031"/>
        </w:numPr>
        <w:pStyle w:val="Compact"/>
      </w:pPr>
      <w:r>
        <w:t xml:space="preserve">💰 最新可得价7.90元；按该价计算浮盈</w:t>
      </w:r>
      <w:r>
        <w:t xml:space="preserve"> </w:t>
      </w:r>
      <w:r>
        <w:rPr>
          <w:b/>
        </w:rPr>
        <w:t xml:space="preserve">11.90%</w:t>
      </w:r>
      <w:r>
        <w:t xml:space="preserve">，浮盈</w:t>
      </w:r>
      <w:r>
        <w:t xml:space="preserve"> </w:t>
      </w:r>
      <w:r>
        <w:rPr>
          <w:b/>
        </w:rPr>
        <w:t xml:space="preserve">1,595.81元</w:t>
      </w:r>
      <w:r>
        <w:t xml:space="preserve">，持仓市值15,010.00元。</w:t>
      </w:r>
    </w:p>
    <w:p>
      <w:pPr>
        <w:numPr>
          <w:ilvl w:val="0"/>
          <w:numId w:val="1031"/>
        </w:numPr>
        <w:pStyle w:val="Compact"/>
      </w:pPr>
      <w:r>
        <w:t xml:space="preserve">📊 所属国有大行/高股息防御；最新涨0.13%，与指数分化和外部风险形成一定防御共振，但银行板块资金、量价与公告未核验。</w:t>
      </w:r>
    </w:p>
    <w:p>
      <w:pPr>
        <w:numPr>
          <w:ilvl w:val="0"/>
          <w:numId w:val="103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今日动作：稳健持有</w:t>
      </w:r>
      <w:r>
        <w:t xml:space="preserve">。盈利仓以保护利润为主，不因短线波动频繁交易，也不在高开时追增仓。</w:t>
      </w:r>
    </w:p>
    <w:p>
      <w:pPr>
        <w:numPr>
          <w:ilvl w:val="0"/>
          <w:numId w:val="103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：跌破7.89元昨收后放量走弱，银行板块同步补跌；若后续跌破开盘形成的首个有效支撑且无法收回，可分批锁定利润。</w:t>
      </w:r>
    </w:p>
    <w:p>
      <w:pPr>
        <w:numPr>
          <w:ilvl w:val="0"/>
          <w:numId w:val="103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：银行板块相对沪深300走强、成交放大、工商银行回踩7.89元附近承接有效且公告无风险时，才考虑小仓增加防御配置。</w:t>
      </w:r>
    </w:p>
    <w:p>
      <w:pPr>
        <w:numPr>
          <w:ilvl w:val="0"/>
          <w:numId w:val="103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：息差压力、红利风格退潮、分红除息波动、单源报价误差。</w:t>
      </w:r>
    </w:p>
    <w:p>
      <w:pPr>
        <w:pStyle w:val="Heading3"/>
      </w:pPr>
      <w:bookmarkStart w:id="56" w:name="农业银行601288.sh-5300股成本6.4244元"/>
      <w:r>
        <w:t xml:space="preserve">⚠️ 农业银行（601288.SH）— 5300股，成本6.4244元</w:t>
      </w:r>
      <w:bookmarkEnd w:id="56"/>
    </w:p>
    <w:p>
      <w:pPr>
        <w:numPr>
          <w:ilvl w:val="0"/>
          <w:numId w:val="1032"/>
        </w:numPr>
        <w:pStyle w:val="Compact"/>
      </w:pPr>
      <w:r>
        <w:t xml:space="preserve">💰 最新价与当前盈亏：</w:t>
      </w:r>
      <w:r>
        <w:rPr>
          <w:b/>
        </w:rPr>
        <w:t xml:space="preserve">未核验</w:t>
      </w:r>
      <w:r>
        <w:t xml:space="preserve">，不得用其他银行行情代替计算。</w:t>
      </w:r>
    </w:p>
    <w:p>
      <w:pPr>
        <w:numPr>
          <w:ilvl w:val="0"/>
          <w:numId w:val="1032"/>
        </w:numPr>
        <w:pStyle w:val="Compact"/>
      </w:pPr>
      <w:r>
        <w:t xml:space="preserve">📊 所属国有大行/高股息防御；行业逻辑与工商银行相近，但个股价格、趋势、量价及公告全部缺失。</w:t>
      </w:r>
    </w:p>
    <w:p>
      <w:pPr>
        <w:numPr>
          <w:ilvl w:val="0"/>
          <w:numId w:val="103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今日动作：持有但先核价，不主动加仓</w:t>
      </w:r>
      <w:r>
        <w:t xml:space="preserve">。在价格与公告确认前，只能采用条件式策略。</w:t>
      </w:r>
    </w:p>
    <w:p>
      <w:pPr>
        <w:numPr>
          <w:ilvl w:val="0"/>
          <w:numId w:val="103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：核价后若跌破当日开盘形成的首个有效支撑、银行板块同步放量走弱，或出现影响盈利/分红预期的重大公告，可分批减仓。</w:t>
      </w:r>
    </w:p>
    <w:p>
      <w:pPr>
        <w:numPr>
          <w:ilvl w:val="0"/>
          <w:numId w:val="103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：取得可靠行情后，确认股价守住关键支撑、银行板块资金净流入且相对沪深300走强，再考虑小仓；禁止为摊薄成本无条件补仓。</w:t>
      </w:r>
    </w:p>
    <w:p>
      <w:pPr>
        <w:numPr>
          <w:ilvl w:val="0"/>
          <w:numId w:val="103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：行情缺失、息差与资产质量压力、红利拥挤交易、公告未核验。</w:t>
      </w:r>
    </w:p>
    <w:p>
      <w:pPr>
        <w:pStyle w:val="Heading3"/>
      </w:pPr>
      <w:bookmarkStart w:id="57" w:name="持仓优先级结论"/>
      <w:r>
        <w:t xml:space="preserve">🎯 持仓优先级结论</w:t>
      </w:r>
      <w:bookmarkEnd w:id="57"/>
    </w:p>
    <w:p>
      <w:pPr>
        <w:numPr>
          <w:ilvl w:val="0"/>
          <w:numId w:val="103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</w:t>
      </w:r>
      <w:r>
        <w:t xml:space="preserve">：弘元绿能，浮亏38.43%且当前偏弱、主线共振和板块资金均未确认。</w:t>
      </w:r>
    </w:p>
    <w:p>
      <w:pPr>
        <w:numPr>
          <w:ilvl w:val="0"/>
          <w:numId w:val="1033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最稳健持有</w:t>
      </w:r>
      <w:r>
        <w:t xml:space="preserve">：工商银行，浮盈11.90%，具备防御属性；以7.89元昨收及开盘后板块相对强弱管理利润。</w:t>
      </w:r>
    </w:p>
    <w:p>
      <w:pPr>
        <w:numPr>
          <w:ilvl w:val="0"/>
          <w:numId w:val="103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满足条件才可加仓</w:t>
      </w:r>
      <w:r>
        <w:t xml:space="preserve">：风语筑需放量站稳并获数字方向资金共振；农业银行需先核实价格、趋势与公告；弘元绿能必须先收复昨收并获得光伏板块资金确认。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8" w:name="盘前执行清单"/>
      <w:r>
        <w:t xml:space="preserve">⚠️ 盘前执行清单</w:t>
      </w:r>
      <w:bookmarkEnd w:id="58"/>
    </w:p>
    <w:p>
      <w:pPr>
        <w:numPr>
          <w:ilvl w:val="0"/>
          <w:numId w:val="1034"/>
        </w:numPr>
        <w:pStyle w:val="Compact"/>
      </w:pPr>
      <w:r>
        <w:t xml:space="preserve">📋 开盘前补查四只持仓的交易所公告，尤其是中报、减持、监管与停复牌。</w:t>
      </w:r>
    </w:p>
    <w:p>
      <w:pPr>
        <w:numPr>
          <w:ilvl w:val="0"/>
          <w:numId w:val="1034"/>
        </w:numPr>
        <w:pStyle w:val="Compact"/>
      </w:pPr>
      <w:r>
        <w:t xml:space="preserve">💰 9:30后先恢复资金流入/流出TOP10与板块榜，不在榜单缺失时强认主线。</w:t>
      </w:r>
    </w:p>
    <w:p>
      <w:pPr>
        <w:numPr>
          <w:ilvl w:val="0"/>
          <w:numId w:val="1034"/>
        </w:numPr>
        <w:pStyle w:val="Compact"/>
      </w:pPr>
      <w:r>
        <w:t xml:space="preserve">📊 观察上证3,889.4449附近承接、创业板能否扭转弱势，以及上涨家数优势能否延续。</w:t>
      </w:r>
    </w:p>
    <w:p>
      <w:pPr>
        <w:numPr>
          <w:ilvl w:val="0"/>
          <w:numId w:val="1034"/>
        </w:numPr>
        <w:pStyle w:val="Compact"/>
      </w:pPr>
      <w:r>
        <w:t xml:space="preserve">🚀 数据要素与交通基建必须出现</w:t>
      </w:r>
      <w:r>
        <w:t xml:space="preserve">“</w:t>
      </w:r>
      <w:r>
        <w:t xml:space="preserve">资金+成交+核心股</w:t>
      </w:r>
      <w:r>
        <w:t xml:space="preserve">”</w:t>
      </w:r>
      <w:r>
        <w:t xml:space="preserve">三项共振才参与。</w:t>
      </w:r>
    </w:p>
    <w:p>
      <w:pPr>
        <w:numPr>
          <w:ilvl w:val="0"/>
          <w:numId w:val="1034"/>
        </w:numPr>
        <w:pStyle w:val="Compact"/>
      </w:pPr>
      <w:r>
        <w:t xml:space="preserve">🛡️ 持仓处理顺序：弘元绿能风险控制优先，工商银行保护利润，风语筑看11.02元承接，农业银行先核价。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生成时间：2026-08-26 08:32（北京时间，Asia/Shanghai）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2026-08-26T00:35:50Z</dcterms:created>
  <dcterms:modified xsi:type="dcterms:W3CDTF">2026-08-26T00:35:50Z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