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26周三"/>
      <w:r>
        <w:t xml:space="preserve">🕐 午盘总结 | 2026-08-26（周三）</w:t>
      </w:r>
      <w:bookmarkEnd w:id="20"/>
    </w:p>
    <w:p>
      <w:pPr>
        <w:pStyle w:val="BlockText"/>
      </w:pPr>
      <w:r>
        <w:t xml:space="preserve">数据基准：2026-08-26 11:45（北京时间）。指数由新浪主源提供，并经东方财富、腾讯交叉验证；全市场涨跌家数与成交额来自同花顺单源。</w:t>
      </w:r>
    </w:p>
    <w:p>
      <w:pPr>
        <w:pStyle w:val="BlockText"/>
      </w:pPr>
      <w:r>
        <w:t xml:space="preserve">⚠️ 数据质量：关键源覆盖率 3/7（42.86%）。</w:t>
      </w:r>
      <w:r>
        <w:rPr>
          <w:rStyle w:val="VerbatimChar"/>
        </w:rPr>
        <w:t xml:space="preserve">money_flow</w:t>
      </w:r>
      <w:r>
        <w:t xml:space="preserve">、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采集失败，因此资金TOP10、结构化板块TOP10、活跃股榜单和涨跌停明细均为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，不得以华泰自然语言文本替代真实榜单。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📈🔴</w:t>
      </w:r>
      <w:r>
        <w:t xml:space="preserve"> </w:t>
      </w:r>
      <w:r>
        <w:rPr>
          <w:b/>
        </w:rPr>
        <w:t xml:space="preserve">上证指数</w:t>
      </w:r>
      <w:r>
        <w:t xml:space="preserve">：3,916.8309点，涨0.7041%；新浪、东方财富、腾讯三源校验一致。</w:t>
      </w:r>
    </w:p>
    <w:p>
      <w:pPr>
        <w:numPr>
          <w:ilvl w:val="0"/>
          <w:numId w:val="1001"/>
        </w:numPr>
        <w:pStyle w:val="Compact"/>
      </w:pPr>
      <w:r>
        <w:t xml:space="preserve">📈🔴</w:t>
      </w:r>
      <w:r>
        <w:t xml:space="preserve"> </w:t>
      </w:r>
      <w:r>
        <w:rPr>
          <w:b/>
        </w:rPr>
        <w:t xml:space="preserve">深证成指</w:t>
      </w:r>
      <w:r>
        <w:t xml:space="preserve">：13,911.29点，涨1.2034%；三源校验一致。</w:t>
      </w:r>
    </w:p>
    <w:p>
      <w:pPr>
        <w:numPr>
          <w:ilvl w:val="0"/>
          <w:numId w:val="1001"/>
        </w:numPr>
        <w:pStyle w:val="Compact"/>
      </w:pPr>
      <w:r>
        <w:t xml:space="preserve">📈🔴</w:t>
      </w:r>
      <w:r>
        <w:t xml:space="preserve"> </w:t>
      </w:r>
      <w:r>
        <w:rPr>
          <w:b/>
        </w:rPr>
        <w:t xml:space="preserve">创业板指</w:t>
      </w:r>
      <w:r>
        <w:t xml:space="preserve">：3,444.047点，涨1.3696%；三源校验一致。</w:t>
      </w:r>
    </w:p>
    <w:p>
      <w:pPr>
        <w:numPr>
          <w:ilvl w:val="0"/>
          <w:numId w:val="1001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科创50</w:t>
      </w:r>
      <w:r>
        <w:t xml:space="preserve">：1,639.5821点，涨2.1806%，明显强于上证指数；三源校验一致。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沪深300</w:t>
      </w:r>
      <w:r>
        <w:t xml:space="preserve">：4,600.7663点，涨1.0706%；三源校验一致。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全市场半日成交额</w:t>
      </w:r>
      <w:r>
        <w:t xml:space="preserve">：12,399.73亿元，来自同花顺单源。</w:t>
      </w:r>
      <w:r>
        <w:rPr>
          <w:rStyle w:val="VerbatimChar"/>
        </w:rPr>
        <w:t xml:space="preserve">turnover_comparison_scope=unverified</w:t>
      </w:r>
      <w:r>
        <w:t xml:space="preserve">，因此不使用847.83亿元变动值计算同比例，也不把上午量能写成确定放量或缩量。</w:t>
      </w:r>
    </w:p>
    <w:p>
      <w:pPr>
        <w:numPr>
          <w:ilvl w:val="0"/>
          <w:numId w:val="1001"/>
        </w:numPr>
        <w:pStyle w:val="Compact"/>
      </w:pPr>
      <w:r>
        <w:t xml:space="preserve">🔴🟢</w:t>
      </w:r>
      <w:r>
        <w:t xml:space="preserve"> </w:t>
      </w:r>
      <w:r>
        <w:rPr>
          <w:b/>
        </w:rPr>
        <w:t xml:space="preserve">涨跌家数</w:t>
      </w:r>
      <w:r>
        <w:t xml:space="preserve">：上涨3,574家、下跌1,809家、平盘164家；涨停56家、跌停0家，来自同花顺单源。</w:t>
      </w:r>
    </w:p>
    <w:p>
      <w:pPr>
        <w:pStyle w:val="FirstParagraph"/>
      </w:pPr>
      <w:r>
        <w:t xml:space="preserve">🎭</w:t>
      </w:r>
      <w:r>
        <w:t xml:space="preserve"> </w:t>
      </w:r>
      <w:r>
        <w:rPr>
          <w:b/>
        </w:rPr>
        <w:t xml:space="preserve">一句话盘面</w:t>
      </w:r>
      <w:r>
        <w:t xml:space="preserve">：指数普涨、科创50领跑且上涨家数占优，上午风险偏好偏强；但资金流、板块榜与个股明细缺失，当前只能确认</w:t>
      </w:r>
      <w:r>
        <w:t xml:space="preserve">“</w:t>
      </w:r>
      <w:r>
        <w:t xml:space="preserve">市场强</w:t>
      </w:r>
      <w:r>
        <w:t xml:space="preserve">”</w:t>
      </w:r>
      <w:r>
        <w:t xml:space="preserve">，不能据此确认哪条产业线获得了结构化主力资金支持。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与龙头股"/>
      <w:r>
        <w:t xml:space="preserve">🔥 领涨板块 TOP10 与龙头股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结构化领涨板块TOP10：未核验</w:t>
      </w:r>
      <w:r>
        <w:t xml:space="preserve">。东方财富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返回HTTP 502，采集JSON没有可用的板块涨幅榜、成交额榜或对应TOP10数值。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龙头股精确行情：未核验</w:t>
      </w:r>
      <w:r>
        <w:t xml:space="preserve">。</w:t>
      </w:r>
      <w:r>
        <w:rPr>
          <w:rStyle w:val="VerbatimChar"/>
        </w:rPr>
        <w:t xml:space="preserve">active_stocks</w:t>
      </w:r>
      <w:r>
        <w:t xml:space="preserve"> </w:t>
      </w:r>
      <w:r>
        <w:t xml:space="preserve">超时、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返回HTTP 502、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返回HTTP 502，不能补写涨幅、成交额、封单或多源一致性结论。</w:t>
      </w:r>
    </w:p>
    <w:p>
      <w:pPr>
        <w:numPr>
          <w:ilvl w:val="0"/>
          <w:numId w:val="1002"/>
        </w:numPr>
        <w:pStyle w:val="Compact"/>
      </w:pPr>
      <w:r>
        <w:t xml:space="preserve">📌 华泰补充文本提及有色金属、非银金融、钢铁、造纸、算力硬件相对活跃，并列举江西铜业、白银有色、金诚信、锦龙股份、湘财股份、剑桥科技、共进股份等线索；这些属于</w:t>
      </w:r>
      <w:r>
        <w:rPr>
          <w:b/>
        </w:rPr>
        <w:t xml:space="preserve">华泰单一文本线索</w:t>
      </w:r>
      <w:r>
        <w:t xml:space="preserve">，未与本地结构化板块榜和个股三源行情完成交叉验证，只能作为午后观察池。</w:t>
      </w:r>
    </w:p>
    <w:p>
      <w:pPr>
        <w:numPr>
          <w:ilvl w:val="0"/>
          <w:numId w:val="1002"/>
        </w:numPr>
        <w:pStyle w:val="Compact"/>
      </w:pPr>
      <w:r>
        <w:t xml:space="preserve">🚫 本节不把华泰文本中的排序或资金数字改写成真实TOP10，也不自行补齐缺失名次。</w:t>
      </w:r>
    </w:p>
    <w:p>
      <w:pPr>
        <w:pStyle w:val="FirstParagraph"/>
      </w:pPr>
      <w:r>
        <w:t xml:space="preserve">💡</w:t>
      </w:r>
      <w:r>
        <w:t xml:space="preserve"> </w:t>
      </w:r>
      <w:r>
        <w:rPr>
          <w:b/>
        </w:rPr>
        <w:t xml:space="preserve">午后验证方式</w:t>
      </w:r>
      <w:r>
        <w:t xml:space="preserve">：先看上述方向能否继续跑赢指数，再核对板块成交、主力净流入和核心股承接；只有至少三项共振，才从</w:t>
      </w:r>
      <w:r>
        <w:t xml:space="preserve">“</w:t>
      </w:r>
      <w:r>
        <w:t xml:space="preserve">观察</w:t>
      </w:r>
      <w:r>
        <w:t xml:space="preserve">”</w:t>
      </w:r>
      <w:r>
        <w:t xml:space="preserve">升级为</w:t>
      </w:r>
      <w:r>
        <w:t xml:space="preserve">“</w:t>
      </w:r>
      <w:r>
        <w:t xml:space="preserve">可参与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资金流向"/>
      <w:r>
        <w:t xml:space="preserve">💰 资金流向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主力资金流入TOP10：未核验</w:t>
      </w:r>
      <w:r>
        <w:t xml:space="preserve">。采集源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返回HTTP 502，JSON中不存在真实流入榜单和金额。</w:t>
      </w:r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主力资金流出TOP10：未核验</w:t>
      </w:r>
      <w:r>
        <w:t xml:space="preserve">。同一来源失败，JSON中不存在真实流出榜单和金额。</w:t>
      </w:r>
    </w:p>
    <w:p>
      <w:pPr>
        <w:numPr>
          <w:ilvl w:val="0"/>
          <w:numId w:val="1003"/>
        </w:numPr>
        <w:pStyle w:val="Compact"/>
      </w:pPr>
      <w:r>
        <w:t xml:space="preserve">🚫 禁止以板块涨幅、华泰文本描述或搜索数据冒充主力资金TOP10；因此本报告和摘要均明确保留缺口，不编造板块名与金额。</w:t>
      </w:r>
    </w:p>
    <w:p>
      <w:pPr>
        <w:numPr>
          <w:ilvl w:val="0"/>
          <w:numId w:val="1003"/>
        </w:numPr>
        <w:pStyle w:val="Compact"/>
      </w:pPr>
      <w:r>
        <w:t xml:space="preserve">📊 当前能够确认的资金环境只有：半日全市场成交额12,399.73亿元（同花顺单源），但其比较口径未核验，不能推出确定的放量比例。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资金流出预警"/>
      <w:r>
        <w:t xml:space="preserve">⚠️ 资金流出预警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重点流出板块及金额：未核验</w:t>
      </w:r>
      <w:r>
        <w:t xml:space="preserve">，无法判断真实流出属于高位退潮、获利兑现、板块轮动还是事件冲击。</w:t>
      </w:r>
    </w:p>
    <w:p>
      <w:pPr>
        <w:numPr>
          <w:ilvl w:val="0"/>
          <w:numId w:val="1004"/>
        </w:numPr>
        <w:pStyle w:val="Compact"/>
      </w:pPr>
      <w:r>
        <w:t xml:space="preserve">📉 华泰补充文本提示医疗服务/CRO、油气开采、电机、饮料及部分高位题材表现偏弱；因无结构化板块跌幅和主力流出榜交叉确认，只按风险线索处理。</w:t>
      </w:r>
    </w:p>
    <w:p>
      <w:pPr>
        <w:numPr>
          <w:ilvl w:val="0"/>
          <w:numId w:val="1004"/>
        </w:numPr>
        <w:pStyle w:val="Compact"/>
      </w:pPr>
      <w:r>
        <w:t xml:space="preserve">🚫 午后若某方向跌破上午低点且成交放大，应先减小暴露；在资金榜恢复前，不对</w:t>
      </w:r>
      <w:r>
        <w:t xml:space="preserve">“</w:t>
      </w:r>
      <w:r>
        <w:t xml:space="preserve">资金撤退方向</w:t>
      </w:r>
      <w:r>
        <w:t xml:space="preserve">”</w:t>
      </w:r>
      <w:r>
        <w:t xml:space="preserve">作强确定结论。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盘前预判-vs-上午实盘"/>
      <w:r>
        <w:t xml:space="preserve">🎯 盘前预判 vs 上午实盘</w:t>
      </w:r>
      <w:bookmarkEnd w:id="25"/>
    </w:p>
    <w:p>
      <w:pPr>
        <w:pStyle w:val="Heading3"/>
      </w:pPr>
      <w:bookmarkStart w:id="26" w:name="命中点"/>
      <w:r>
        <w:t xml:space="preserve">✅ 命中点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📈 盘前采用</w:t>
      </w:r>
      <w:r>
        <w:t xml:space="preserve">“</w:t>
      </w:r>
      <w:r>
        <w:t xml:space="preserve">条件交易、不预设单一主线</w:t>
      </w:r>
      <w:r>
        <w:t xml:space="preserve">”</w:t>
      </w:r>
      <w:r>
        <w:t xml:space="preserve">，与上午实际数据缺口仍较大的环境相符。</w:t>
      </w:r>
    </w:p>
    <w:p>
      <w:pPr>
        <w:numPr>
          <w:ilvl w:val="0"/>
          <w:numId w:val="1005"/>
        </w:numPr>
        <w:pStyle w:val="Compact"/>
      </w:pPr>
      <w:r>
        <w:t xml:space="preserve">📈 A50盘前偏强提供了温和正向参考；上午三大指数实际全部上涨，上证、深成指、创业板分别涨0.7041%、1.2034%、1.3696%。</w:t>
      </w:r>
    </w:p>
    <w:p>
      <w:pPr>
        <w:numPr>
          <w:ilvl w:val="0"/>
          <w:numId w:val="1005"/>
        </w:numPr>
        <w:pStyle w:val="Compact"/>
      </w:pPr>
      <w:r>
        <w:t xml:space="preserve">🎭 盘前强调观察成长风格能否修复；上午科创50上涨2.1806%，创业板上涨1.3696%，成长指数相对更强。</w:t>
      </w:r>
    </w:p>
    <w:p>
      <w:pPr>
        <w:numPr>
          <w:ilvl w:val="0"/>
          <w:numId w:val="1005"/>
        </w:numPr>
        <w:pStyle w:val="Compact"/>
      </w:pPr>
      <w:r>
        <w:t xml:space="preserve">🛡️ 盘前要求不在资金榜缺失时强认主线；午间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与板块榜仍失败，该风控约束继续有效。</w:t>
      </w:r>
    </w:p>
    <w:p>
      <w:pPr>
        <w:pStyle w:val="Heading3"/>
      </w:pPr>
      <w:bookmarkStart w:id="27" w:name="偏差点"/>
      <w:r>
        <w:t xml:space="preserve">❌ 偏差点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📌 盘前重点预案是公共数据、交通基建和国有大行防御；华泰午间补充文本显示上午更活跃的线索转向有色金属、非银金融、算力硬件及疫苗，盘前方向未成为可确认主攻线。</w:t>
      </w:r>
    </w:p>
    <w:p>
      <w:pPr>
        <w:numPr>
          <w:ilvl w:val="0"/>
          <w:numId w:val="1006"/>
        </w:numPr>
        <w:pStyle w:val="Compact"/>
      </w:pPr>
      <w:r>
        <w:t xml:space="preserve">📉 工商银行上午跌0.25%，防御方向没有与成长指数的强势同步共振。</w:t>
      </w:r>
    </w:p>
    <w:p>
      <w:pPr>
        <w:numPr>
          <w:ilvl w:val="0"/>
          <w:numId w:val="1006"/>
        </w:numPr>
        <w:pStyle w:val="Compact"/>
      </w:pPr>
      <w:r>
        <w:t xml:space="preserve">📉 风语筑上午跌1.71%，公共数据/泛数字经济映射未被个股表现验证。</w:t>
      </w:r>
    </w:p>
    <w:p>
      <w:pPr>
        <w:numPr>
          <w:ilvl w:val="0"/>
          <w:numId w:val="1006"/>
        </w:numPr>
        <w:pStyle w:val="Compact"/>
      </w:pPr>
      <w:r>
        <w:t xml:space="preserve">📈 弘元绿能上午涨2.50%，较盘前偏弱状态修复，但光伏板块资金和结构化表现缺失，仍不能升级为主攻方向。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下午盘操作建议"/>
      <w:r>
        <w:t xml:space="preserve">🎯 下午盘操作建议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市场判断</w:t>
      </w:r>
      <w:r>
        <w:t xml:space="preserve">：偏强震荡。指数和广度支持风险偏好，但板块与主力资金证据链不完整，下午不宜把上午强势直接外推为单边上行。</w:t>
      </w:r>
    </w:p>
    <w:p>
      <w:pPr>
        <w:numPr>
          <w:ilvl w:val="0"/>
          <w:numId w:val="1007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激进仓位上限80%</w:t>
      </w:r>
      <w:r>
        <w:t xml:space="preserve">：沿用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。只做下午回踩有承接、板块相对强度延续且核心股不炸板的方向；不追上午直线拉升标的。</w:t>
      </w:r>
    </w:p>
    <w:p>
      <w:pPr>
        <w:numPr>
          <w:ilvl w:val="0"/>
          <w:numId w:val="1007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均衡仓位上限65%</w:t>
      </w:r>
      <w:r>
        <w:t xml:space="preserve">：保留底仓，新增仓位等板块资金榜恢复或核心股出现放量回踩确认；单一主题控制集中度。</w:t>
      </w:r>
    </w:p>
    <w:p>
      <w:pPr>
        <w:numPr>
          <w:ilvl w:val="0"/>
          <w:numId w:val="1007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保守仓位上限50%</w:t>
      </w:r>
      <w:r>
        <w:t xml:space="preserve">：以已有低波动仓和现金为主，等待资金流与板块榜恢复后再扩张。</w:t>
      </w:r>
    </w:p>
    <w:p>
      <w:pPr>
        <w:numPr>
          <w:ilvl w:val="0"/>
          <w:numId w:val="100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风险信号</w:t>
      </w:r>
      <w:r>
        <w:t xml:space="preserve">：科创50和创业板跌回上午关键支撑、上涨家数优势显著收窄、强势方向冲高回落，或尾盘被动调仓引发异常放量。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下午投资方向分层"/>
      <w:r>
        <w:t xml:space="preserve">🎯 下午投资方向分层</w:t>
      </w:r>
      <w:bookmarkEnd w:id="29"/>
    </w:p>
    <w:p>
      <w:pPr>
        <w:pStyle w:val="BlockText"/>
      </w:pPr>
      <w:r>
        <w:t xml:space="preserve">受资金流、板块榜、活跃股和涨跌停明细缺失影响，以下方向均需二次确认；没有任何方向满足</w:t>
      </w:r>
      <w:r>
        <w:t xml:space="preserve">“</w:t>
      </w:r>
      <w:r>
        <w:t xml:space="preserve">结构化资金+板块表现+活跃股+涨停样本</w:t>
      </w:r>
      <w:r>
        <w:t xml:space="preserve">”</w:t>
      </w:r>
      <w:r>
        <w:t xml:space="preserve">完整证据链。</w:t>
      </w:r>
    </w:p>
    <w:p>
      <w:pPr>
        <w:pStyle w:val="Heading3"/>
      </w:pPr>
      <w:bookmarkStart w:id="30" w:name="可参与暂缺无条件方向"/>
      <w:r>
        <w:t xml:space="preserve">🚀 可参与：暂缺无条件方向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🚫 当前没有方向达到无条件参与标准。上午虽指数与广度偏强，但结构化主力资金、板块涨幅和核心股多源行情均未取得。</w:t>
      </w:r>
    </w:p>
    <w:p>
      <w:pPr>
        <w:numPr>
          <w:ilvl w:val="0"/>
          <w:numId w:val="1008"/>
        </w:numPr>
        <w:pStyle w:val="Compact"/>
      </w:pPr>
      <w:r>
        <w:t xml:space="preserve">💡 激进交易只能采用条件单：板块午后继续跑赢指数、核心股回踩不破上午关键支撑、成交继续扩张三项同时成立，才允许小仓试错。</w:t>
      </w:r>
    </w:p>
    <w:p>
      <w:pPr>
        <w:pStyle w:val="Heading3"/>
      </w:pPr>
      <w:bookmarkStart w:id="31" w:name="只观察一有色金属铜贵金属优先级观察中偏高"/>
      <w:r>
        <w:t xml:space="preserve">📈 只观察一：有色金属—铜/贵金属（优先级：观察中偏高）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两段补充文本均指向有色金属活跃，并共同点名江西铜业、白银有色；但结构化板块涨幅、成交额、主力净流入与个股多源行情全部未核验。</w:t>
      </w:r>
    </w:p>
    <w:p>
      <w:pPr>
        <w:numPr>
          <w:ilvl w:val="0"/>
          <w:numId w:val="1009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：江西铜业、白银有色、金诚信，仅作为华泰文本观察线索，不引用未经结构化核验的涨幅或资金金额。</w:t>
      </w:r>
    </w:p>
    <w:p>
      <w:pPr>
        <w:numPr>
          <w:ilvl w:val="0"/>
          <w:numId w:val="100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：激进者仅在午后板块相对强度延续、核心股开板后快速回封或回踩有承接时小仓；稳健与保守者等待资金榜恢复。</w:t>
      </w:r>
    </w:p>
    <w:p>
      <w:pPr>
        <w:numPr>
          <w:ilvl w:val="0"/>
          <w:numId w:val="100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：板块结构化资金转为净流入、核心股不跌破上午关键支撑、同方向至少两只辨识度标的同步走强。</w:t>
      </w:r>
    </w:p>
    <w:p>
      <w:pPr>
        <w:numPr>
          <w:ilvl w:val="0"/>
          <w:numId w:val="100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：核心股炸板后不能回封、板块冲高回落并跑输指数，或恢复后的资金榜显示主力净流出。</w:t>
      </w:r>
    </w:p>
    <w:p>
      <w:pPr>
        <w:numPr>
          <w:ilvl w:val="0"/>
          <w:numId w:val="100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：商品价格波动、上午涨幅兑现、文本线索与真实资金结构不一致。</w:t>
      </w:r>
    </w:p>
    <w:p>
      <w:pPr>
        <w:pStyle w:val="Heading3"/>
      </w:pPr>
      <w:bookmarkStart w:id="32" w:name="只观察二非银金融券商期货优先级观察"/>
      <w:r>
        <w:t xml:space="preserve">📈 只观察二：非银金融—券商/期货（优先级：观察）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：华泰两段补充文本共同提示券商活跃，并点名锦龙股份、湘财股份、南华期货；同时沪深300上涨1.0706%、市场上涨3,574家，具备风险偏好背景，但资金榜与板块榜未核验。</w:t>
      </w:r>
    </w:p>
    <w:p>
      <w:pPr>
        <w:numPr>
          <w:ilvl w:val="0"/>
          <w:numId w:val="101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：锦龙股份、湘财股份、南华期货；仅作观察，缺少本地精确行情和涨停状态校验。</w:t>
      </w:r>
    </w:p>
    <w:p>
      <w:pPr>
        <w:numPr>
          <w:ilvl w:val="0"/>
          <w:numId w:val="101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：激进者等券商二次放量且指数不回落再小仓；稳健者等待回踩确认；保守者不追脉冲。</w:t>
      </w:r>
    </w:p>
    <w:p>
      <w:pPr>
        <w:numPr>
          <w:ilvl w:val="0"/>
          <w:numId w:val="101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：券商板块继续带动沪深300、核心股承接稳定、恢复后的资金榜显示净流入。</w:t>
      </w:r>
    </w:p>
    <w:p>
      <w:pPr>
        <w:numPr>
          <w:ilvl w:val="0"/>
          <w:numId w:val="101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：指数上涨但券商走弱、龙头跌回开盘价下方，或午后仅剩单股脉冲。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：高贝塔冲高回落、业绩预期一次性兑现、尾盘调仓扰动。</w:t>
      </w:r>
    </w:p>
    <w:p>
      <w:pPr>
        <w:pStyle w:val="Heading3"/>
      </w:pPr>
      <w:bookmarkStart w:id="33" w:name="只观察三ai算力光通信硬件优先级观察"/>
      <w:r>
        <w:t xml:space="preserve">🚀 只观察三：AI算力—光通信/硬件（优先级：观察）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：科创50上涨2.1806%、创业板上涨1.3696%，成长风格强于上证；华泰补充文本提示算力硬件及剑桥科技、共进股份活跃，但结构化行业资金和个股三源行情缺失。</w:t>
      </w:r>
    </w:p>
    <w:p>
      <w:pPr>
        <w:numPr>
          <w:ilvl w:val="0"/>
          <w:numId w:val="1011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：剑桥科技、共进股份；仅作为华泰文本线索，不确认涨停、成交额或封单。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：激进者只做回踩不破且量价再启动；稳健者等待午后不回落和次日外部事件落地；保守者观望。</w:t>
      </w:r>
    </w:p>
    <w:p>
      <w:pPr>
        <w:numPr>
          <w:ilvl w:val="0"/>
          <w:numId w:val="101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：科创50维持相对强势、板块资金净流入得到结构化确认、核心股不出现放量长上影。</w:t>
      </w:r>
    </w:p>
    <w:p>
      <w:pPr>
        <w:numPr>
          <w:ilvl w:val="0"/>
          <w:numId w:val="101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：科创50涨幅快速收窄、核心股跌破上午低点、外部科技事件不及预期。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：高估值、高波动、事件预期提前交易及资金虹吸后快速兑现。</w:t>
      </w:r>
    </w:p>
    <w:p>
      <w:pPr>
        <w:pStyle w:val="Heading3"/>
      </w:pPr>
      <w:bookmarkStart w:id="34" w:name="应回避高位题材与弱承接方向"/>
      <w:r>
        <w:t xml:space="preserve">📉 应回避：高位题材与弱承接方向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⚠️ 华泰文本提示CRO、部分高位农业种业等存在分歧，但缺少结构化资金流出榜，不能确认其真实排序。</w:t>
      </w:r>
    </w:p>
    <w:p>
      <w:pPr>
        <w:numPr>
          <w:ilvl w:val="0"/>
          <w:numId w:val="1012"/>
        </w:numPr>
        <w:pStyle w:val="Compact"/>
      </w:pPr>
      <w:r>
        <w:t xml:space="preserve">🚫 午后回避无资金确认的高开低走票、上午大幅拉升后放量破均价票，以及仅凭消息刺激但没有板块扩散的孤立个股。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华泰自选股观察"/>
      <w:r>
        <w:t xml:space="preserve">🧾 华泰自选股观察</w:t>
      </w:r>
      <w:bookmarkEnd w:id="35"/>
    </w:p>
    <w:p>
      <w:pPr>
        <w:pStyle w:val="FirstParagraph"/>
      </w:pPr>
      <w:r>
        <w:t xml:space="preserve">自选股共3只，已取得3只午间行情，全部来自华泰补充源；本轮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失败，无法与新浪/东方财富/腾讯逐股交叉校验。整体一强两弱：弘元绿能修复，风语筑与工商银行回落；三者均未与已确认的结构化资金主线完成共振验证。</w:t>
      </w:r>
    </w:p>
    <w:p>
      <w:pPr>
        <w:numPr>
          <w:ilvl w:val="0"/>
          <w:numId w:val="101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：最新价16.83元，涨2.50%。所属光伏硅片/新能源方向；上午出现价格修复，但采集JSON没有光伏板块涨幅、主力资金或活跃股榜支持，与华泰文本提示的有色、金融、算力线索无明显共振。</w:t>
      </w:r>
      <w:r>
        <w:rPr>
          <w:b/>
        </w:rPr>
        <w:t xml:space="preserve">结论：继续观察、可低吸跟踪但不追高；以跟踪为主、暂不作为主攻方向。</w:t>
      </w:r>
      <w:r>
        <w:t xml:space="preserve">若跌回16.42元昨收下方且无法收回，修复判断失效。</w:t>
      </w:r>
    </w:p>
    <w:p>
      <w:pPr>
        <w:numPr>
          <w:ilvl w:val="0"/>
          <w:numId w:val="1013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：最新价10.95元，跌1.71%。所属数字文旅/数字内容方向；上午弱于指数，未与成长指数上涨形成个股共振，也没有公共数据或数字经济板块资金确认。</w:t>
      </w:r>
      <w:r>
        <w:rPr>
          <w:b/>
        </w:rPr>
        <w:t xml:space="preserve">结论：偏弱，反弹弱承接可减仓观察；以跟踪为主、暂不作为主攻方向。</w:t>
      </w:r>
      <w:r>
        <w:t xml:space="preserve">若重新站稳11.14元昨收并获板块联动，再恢复低吸跟踪。</w:t>
      </w:r>
    </w:p>
    <w:p>
      <w:pPr>
        <w:numPr>
          <w:ilvl w:val="0"/>
          <w:numId w:val="1013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：最新价7.88元，跌0.25%。所属国有大行/高股息方向；上午沪深300上涨1.0706%，但个股小幅回落，防御属性没有转化为相对强势。</w:t>
      </w:r>
      <w:r>
        <w:rPr>
          <w:b/>
        </w:rPr>
        <w:t xml:space="preserve">结论：稳健持有观察、不追高；以跟踪为主、暂不作为主攻方向。</w:t>
      </w:r>
      <w:r>
        <w:t xml:space="preserve">若跌破7.88元后放量走弱且银行同步回落，考虑保护利润。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用户持仓午后动作"/>
      <w:r>
        <w:t xml:space="preserve">💼 用户持仓午后动作</w:t>
      </w:r>
      <w:bookmarkEnd w:id="36"/>
    </w:p>
    <w:p>
      <w:pPr>
        <w:pStyle w:val="BlockText"/>
      </w:pPr>
      <w:r>
        <w:t xml:space="preserve">本节为午盘风控补充，不替代盘前完整持仓策略。农业银行午间行情仍未取得，禁止计算或补写盈亏。</w:t>
      </w:r>
    </w:p>
    <w:p>
      <w:pPr>
        <w:numPr>
          <w:ilvl w:val="0"/>
          <w:numId w:val="101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弘元绿能（300股，成本26.6669元）</w:t>
      </w:r>
      <w:r>
        <w:t xml:space="preserve">：按16.83元计算，浮亏36.89%、浮亏2,951.07元。上午修复但主线共振不足，</w:t>
      </w:r>
      <w:r>
        <w:rPr>
          <w:b/>
        </w:rPr>
        <w:t xml:space="preserve">动作：持有观察，不补仓追涨</w:t>
      </w:r>
      <w:r>
        <w:t xml:space="preserve">；失守16.42元昨收且无法收回时优先减仓风控，只有板块资金转强并放量站稳后才考虑条件加仓。</w:t>
      </w:r>
    </w:p>
    <w:p>
      <w:pPr>
        <w:numPr>
          <w:ilvl w:val="0"/>
          <w:numId w:val="101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风语筑（700股，成本13.2159元）</w:t>
      </w:r>
      <w:r>
        <w:t xml:space="preserve">：按10.95元计算，浮亏17.15%、浮亏1,586.13元。上午弱于指数，</w:t>
      </w:r>
      <w:r>
        <w:rPr>
          <w:b/>
        </w:rPr>
        <w:t xml:space="preserve">动作：反弹弱承接可减仓</w:t>
      </w:r>
      <w:r>
        <w:t xml:space="preserve">；重新站稳11.14元昨收且数字方向同步走强，才保留条件加仓资格。</w:t>
      </w:r>
    </w:p>
    <w:p>
      <w:pPr>
        <w:numPr>
          <w:ilvl w:val="0"/>
          <w:numId w:val="1014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工商银行（1900股，成本7.0601元）</w:t>
      </w:r>
      <w:r>
        <w:t xml:space="preserve">：按7.88元计算，浮盈11.61%、浮盈1,557.81元。</w:t>
      </w:r>
      <w:r>
        <w:rPr>
          <w:b/>
        </w:rPr>
        <w:t xml:space="preserve">动作：稳健持有并保护利润</w:t>
      </w:r>
      <w:r>
        <w:t xml:space="preserve">；若银行板块同步转弱且个股放量跌破上午支撑，再分批减仓，不因短线回落追补。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农业银行（5300股，成本6.4244元）</w:t>
      </w:r>
      <w:r>
        <w:t xml:space="preserve">：午间最新价、涨跌幅和当前盈亏未核验。</w:t>
      </w:r>
      <w:r>
        <w:rPr>
          <w:b/>
        </w:rPr>
        <w:t xml:space="preserve">动作：先核价、暂不主动加仓</w:t>
      </w:r>
      <w:r>
        <w:t xml:space="preserve">；只有确认守住日内支撑且银行板块相对沪深300转强时，才考虑小仓调整。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午后执行清单"/>
      <w:r>
        <w:t xml:space="preserve">⚠️ 午后执行清单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💰 优先恢复主力资金流入TOP10、流出TOP10与结构化板块榜；恢复前不把任何方向写成已确认资金主线。</w:t>
      </w:r>
    </w:p>
    <w:p>
      <w:pPr>
        <w:numPr>
          <w:ilvl w:val="0"/>
          <w:numId w:val="1015"/>
        </w:numPr>
        <w:pStyle w:val="Compact"/>
      </w:pPr>
      <w:r>
        <w:t xml:space="preserve">📊 观察科创50能否维持相对强势，以及上涨3,574家对下跌1,809家的优势是否延续。</w:t>
      </w:r>
    </w:p>
    <w:p>
      <w:pPr>
        <w:numPr>
          <w:ilvl w:val="0"/>
          <w:numId w:val="1015"/>
        </w:numPr>
        <w:pStyle w:val="Compact"/>
      </w:pPr>
      <w:r>
        <w:t xml:space="preserve">🚀 有色、券商、AI算力只按华泰文本线索跟踪，必须等</w:t>
      </w:r>
      <w:r>
        <w:t xml:space="preserve">“</w:t>
      </w:r>
      <w:r>
        <w:t xml:space="preserve">资金+板块+核心股承接</w:t>
      </w:r>
      <w:r>
        <w:t xml:space="preserve">”</w:t>
      </w:r>
      <w:r>
        <w:t xml:space="preserve">确认后再参与。</w:t>
      </w:r>
    </w:p>
    <w:p>
      <w:pPr>
        <w:numPr>
          <w:ilvl w:val="0"/>
          <w:numId w:val="1015"/>
        </w:numPr>
        <w:pStyle w:val="Compact"/>
      </w:pPr>
      <w:r>
        <w:t xml:space="preserve">🧾 自选股处理顺序：风语筑弱势风控优先，工商银行保护利润，弘元绿能不追修复，农业银行先核价。</w:t>
      </w:r>
    </w:p>
    <w:p>
      <w:pPr>
        <w:numPr>
          <w:ilvl w:val="0"/>
          <w:numId w:val="1015"/>
        </w:numPr>
        <w:pStyle w:val="Compact"/>
      </w:pPr>
      <w:r>
        <w:t xml:space="preserve">⚠️ 若指数涨幅明显收窄、强势方向炸板扩散或尾盘异常放量，激进仓位应主动回撤到均衡档以内。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生成时间：2026-08-26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2026-08-26T03:51:07Z</dcterms:created>
  <dcterms:modified xsi:type="dcterms:W3CDTF">2026-08-26T03:51:07Z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