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24周一"/>
      <w:r>
        <w:t xml:space="preserve">🌅 盘前简报 | 2026-08-24（周一）</w:t>
      </w:r>
      <w:bookmarkEnd w:id="20"/>
    </w:p>
    <w:p>
      <w:pPr>
        <w:pStyle w:val="BlockText"/>
      </w:pPr>
      <w:r>
        <w:t xml:space="preserve">⚠️ 数据质量提示：关键源覆盖</w:t>
      </w:r>
      <w:r>
        <w:t xml:space="preserve"> </w:t>
      </w:r>
      <w:r>
        <w:rPr>
          <w:b/>
        </w:rPr>
        <w:t xml:space="preserve">3/7（42.86%）</w:t>
      </w:r>
      <w:r>
        <w:t xml:space="preserve">。指数经新浪、东方财富、腾讯三源交叉验证；涨跌家数与全市场成交额为同花顺单源可用。资金流、板块表现、活跃个股、涨跌停样本、公告及核心个股多源校验不可用，缺失榜单统一降级为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。华泰仅作为补充数据源，不替代缺失的结构化事实。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富时中国A50期指</w:t>
      </w:r>
      <w:r>
        <w:t xml:space="preserve">：14824.56，跌</w:t>
      </w:r>
      <w:r>
        <w:t xml:space="preserve"> </w:t>
      </w:r>
      <w:r>
        <w:rPr>
          <w:b/>
        </w:rPr>
        <w:t xml:space="preserve">0.12%</w:t>
      </w:r>
      <w:r>
        <w:t xml:space="preserve">，对A股开盘指引偏中性略弱。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恒生指数</w:t>
      </w:r>
      <w:r>
        <w:t xml:space="preserve">：8月21日收于25698.49，涨</w:t>
      </w:r>
      <w:r>
        <w:t xml:space="preserve"> </w:t>
      </w:r>
      <w:r>
        <w:rPr>
          <w:b/>
        </w:rPr>
        <w:t xml:space="preserve">1.21%</w:t>
      </w:r>
      <w:r>
        <w:t xml:space="preserve">；08:30港股尚未开盘，不能写作今日早盘表现。</w:t>
      </w:r>
    </w:p>
    <w:p>
      <w:pPr>
        <w:numPr>
          <w:ilvl w:val="0"/>
          <w:numId w:val="1001"/>
        </w:numPr>
        <w:pStyle w:val="Compact"/>
      </w:pPr>
      <w:r>
        <w:t xml:space="preserve">💱</w:t>
      </w:r>
      <w:r>
        <w:t xml:space="preserve"> </w:t>
      </w:r>
      <w:r>
        <w:rPr>
          <w:b/>
        </w:rPr>
        <w:t xml:space="preserve">美元离岸人民币</w:t>
      </w:r>
      <w:r>
        <w:t xml:space="preserve">：6.7190，跌</w:t>
      </w:r>
      <w:r>
        <w:t xml:space="preserve"> </w:t>
      </w:r>
      <w:r>
        <w:rPr>
          <w:b/>
        </w:rPr>
        <w:t xml:space="preserve">0.01%</w:t>
      </w:r>
      <w:r>
        <w:t xml:space="preserve">，人民币短线保持稳定。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COMEX黄金</w:t>
      </w:r>
      <w:r>
        <w:t xml:space="preserve">：4659.99，跌</w:t>
      </w:r>
      <w:r>
        <w:t xml:space="preserve"> </w:t>
      </w:r>
      <w:r>
        <w:rPr>
          <w:b/>
        </w:rPr>
        <w:t xml:space="preserve">0.44%</w:t>
      </w:r>
      <w:r>
        <w:t xml:space="preserve">；</w:t>
      </w:r>
      <w:r>
        <w:rPr>
          <w:b/>
        </w:rPr>
        <w:t xml:space="preserve">WTI原油</w:t>
      </w:r>
      <w:r>
        <w:t xml:space="preserve">85.936，跌</w:t>
      </w:r>
      <w:r>
        <w:t xml:space="preserve"> </w:t>
      </w:r>
      <w:r>
        <w:rPr>
          <w:b/>
        </w:rPr>
        <w:t xml:space="preserve">1.29%</w:t>
      </w:r>
      <w:r>
        <w:t xml:space="preserve">；</w:t>
      </w:r>
      <w:r>
        <w:rPr>
          <w:b/>
        </w:rPr>
        <w:t xml:space="preserve">伦铜</w:t>
      </w:r>
      <w:r>
        <w:t xml:space="preserve">14192.5，跌</w:t>
      </w:r>
      <w:r>
        <w:t xml:space="preserve"> </w:t>
      </w:r>
      <w:r>
        <w:rPr>
          <w:b/>
        </w:rPr>
        <w:t xml:space="preserve">0.16%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美股三大指数、重点中概股、欧洲股市</w:t>
      </w:r>
      <w:r>
        <w:t xml:space="preserve">：采集JSON没有结构化行情；周末无新增常规交易，最新具体点位与涨跌幅均按</w:t>
      </w:r>
      <w:r>
        <w:rPr>
          <w:b/>
        </w:rPr>
        <w:t xml:space="preserve">未核验</w:t>
      </w:r>
      <w:r>
        <w:t xml:space="preserve">处理。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b/>
        </w:rPr>
        <w:t xml:space="preserve">盘前含义</w:t>
      </w:r>
      <w:r>
        <w:t xml:space="preserve">：A50轻微回落、人民币稳定，外部定价并未给出单边信号；黄金、原油、铜同步回落，但中东与贸易摩擦风险未解除，不能据单次价格变化追空资源品或追多成长股。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科技制造线最具短线辨识度</w:t>
      </w:r>
      <w:r>
        <w:t xml:space="preserve">：人形机器人运动会展示运动控制、大模型决策与场景应用，偏利好减速器、伺服、电机、传感器和机器视觉，但属于赛事催化，必须等待资金与成交确认。</w:t>
      </w:r>
    </w:p>
    <w:p>
      <w:pPr>
        <w:numPr>
          <w:ilvl w:val="0"/>
          <w:numId w:val="1002"/>
        </w:numPr>
        <w:pStyle w:val="Compact"/>
      </w:pPr>
      <w:r>
        <w:t xml:space="preserve">💳</w:t>
      </w:r>
      <w:r>
        <w:t xml:space="preserve"> </w:t>
      </w:r>
      <w:r>
        <w:rPr>
          <w:b/>
        </w:rPr>
        <w:t xml:space="preserve">扩内需政策更具实质性</w:t>
      </w:r>
      <w:r>
        <w:t xml:space="preserve">：消费贷和信用卡分期贴息上限由每年3000元提高到5000元，覆盖汽车、装修等专项分期，利好银行零售金融及汽车、家电、家居消费链。</w:t>
      </w:r>
    </w:p>
    <w:p>
      <w:pPr>
        <w:numPr>
          <w:ilvl w:val="0"/>
          <w:numId w:val="1002"/>
        </w:numPr>
        <w:pStyle w:val="Compact"/>
      </w:pPr>
      <w:r>
        <w:t xml:space="preserve">🛒</w:t>
      </w:r>
      <w:r>
        <w:t xml:space="preserve"> </w:t>
      </w:r>
      <w:r>
        <w:rPr>
          <w:b/>
        </w:rPr>
        <w:t xml:space="preserve">电商与服务消费保持增长</w:t>
      </w:r>
      <w:r>
        <w:t xml:space="preserve">：1—7月网上商品和服务零售额增长4.8%，在线旅游增长24.9%、在线生活服务增长16.3%，利好电商服务、文旅与本地生活，但需关注盈利兑现。</w:t>
      </w:r>
    </w:p>
    <w:p>
      <w:pPr>
        <w:numPr>
          <w:ilvl w:val="0"/>
          <w:numId w:val="1002"/>
        </w:numPr>
        <w:pStyle w:val="Compact"/>
      </w:pPr>
      <w:r>
        <w:t xml:space="preserve">🌱</w:t>
      </w:r>
      <w:r>
        <w:t xml:space="preserve"> </w:t>
      </w:r>
      <w:r>
        <w:rPr>
          <w:b/>
        </w:rPr>
        <w:t xml:space="preserve">绿色修复与装备更新形成中期线索</w:t>
      </w:r>
      <w:r>
        <w:t xml:space="preserve">：生态修复、绿色矿山、智能农机均有政策与实物工作量支撑，短线交易级别低于机器人和扩内需。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外部风险上升</w:t>
      </w:r>
      <w:r>
        <w:t xml:space="preserve">：伊朗警告霍尔木兹海峡石油运输，加拿大将于9月8日实施对美反制关税，可能扰动油运、钢铁、家电、纸浆和电子产品链。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新思想引领新征程用好红色资源-赓续红色血脉"/>
      <w:r>
        <w:t xml:space="preserve">【新思想引领新征程】用好红色资源 赓续红色血脉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A股影响：偏利好</w:t>
      </w:r>
    </w:p>
    <w:p>
      <w:pPr>
        <w:numPr>
          <w:ilvl w:val="0"/>
          <w:numId w:val="1003"/>
        </w:numPr>
        <w:pStyle w:val="Compact"/>
      </w:pPr>
      <w:r>
        <w:t xml:space="preserve">相关板块：文旅景区、数字展陈、XR内容、文物保护</w:t>
      </w:r>
    </w:p>
    <w:p>
      <w:pPr>
        <w:numPr>
          <w:ilvl w:val="0"/>
          <w:numId w:val="1003"/>
        </w:numPr>
        <w:pStyle w:val="Compact"/>
      </w:pPr>
      <w:r>
        <w:t xml:space="preserve">核心解读：革命文物保护、修复和展示体系继续完善，数字艺术馆、XR体验与主题演艺提供文化科技场景；政策力度偏中长期建设与消费场景扩容。</w:t>
      </w:r>
    </w:p>
    <w:p>
      <w:pPr>
        <w:numPr>
          <w:ilvl w:val="0"/>
          <w:numId w:val="1003"/>
        </w:numPr>
        <w:pStyle w:val="Compact"/>
      </w:pPr>
      <w:r>
        <w:t xml:space="preserve">验证条件：文旅与数字展陈板块成交扩散、项目订单落地；若只有情绪高开且无订单，映射失效。</w:t>
      </w:r>
    </w:p>
    <w:p>
      <w:pPr>
        <w:pStyle w:val="Heading4"/>
      </w:pPr>
      <w:bookmarkStart w:id="26" w:name="X1d1f423f3e0e0f2a175c05b4a8c8299d8b4acc2"/>
      <w:r>
        <w:t xml:space="preserve">【凝心聚力 真抓实干 奋力实现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良好开局】青海：完善生态保护修复体系 筑牢</w:t>
      </w:r>
      <w:r>
        <w:t xml:space="preserve">“</w:t>
      </w:r>
      <w:r>
        <w:t xml:space="preserve">中华水塔</w:t>
      </w:r>
      <w:r>
        <w:t xml:space="preserve">”</w:t>
      </w:r>
      <w:r>
        <w:t xml:space="preserve">生态屏障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相关板块：生态修复、环境监测、遥感、水治理、种业</w:t>
      </w:r>
    </w:p>
    <w:p>
      <w:pPr>
        <w:numPr>
          <w:ilvl w:val="0"/>
          <w:numId w:val="1004"/>
        </w:numPr>
        <w:pStyle w:val="Compact"/>
      </w:pPr>
      <w:r>
        <w:t xml:space="preserve">核心解读：规划部署52条任务和37项重大项目，</w:t>
      </w:r>
      <w:r>
        <w:t xml:space="preserve">“</w:t>
      </w:r>
      <w:r>
        <w:t xml:space="preserve">十五五</w:t>
      </w:r>
      <w:r>
        <w:t xml:space="preserve">”</w:t>
      </w:r>
      <w:r>
        <w:t xml:space="preserve">期间完成修复面积30万亩，具备明确工程量线索。</w:t>
      </w:r>
    </w:p>
    <w:p>
      <w:pPr>
        <w:numPr>
          <w:ilvl w:val="0"/>
          <w:numId w:val="1004"/>
        </w:numPr>
        <w:pStyle w:val="Compact"/>
      </w:pPr>
      <w:r>
        <w:t xml:space="preserve">验证条件：生态修复项目招标、监测设备订单与板块资金共振；项目进度或财政资金不及预期时降级。</w:t>
      </w:r>
    </w:p>
    <w:p>
      <w:pPr>
        <w:pStyle w:val="Heading4"/>
      </w:pPr>
      <w:bookmarkStart w:id="27" w:name="月我国电子商务稳定创新发展"/>
      <w:r>
        <w:t xml:space="preserve">1—7月我国电子商务稳定创新发展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A股影响：利好</w:t>
      </w:r>
    </w:p>
    <w:p>
      <w:pPr>
        <w:numPr>
          <w:ilvl w:val="0"/>
          <w:numId w:val="1005"/>
        </w:numPr>
        <w:pStyle w:val="Compact"/>
      </w:pPr>
      <w:r>
        <w:t xml:space="preserve">相关板块：电商服务、在线旅游、本地生活、农村电商、数字内容</w:t>
      </w:r>
    </w:p>
    <w:p>
      <w:pPr>
        <w:numPr>
          <w:ilvl w:val="0"/>
          <w:numId w:val="1005"/>
        </w:numPr>
        <w:pStyle w:val="Compact"/>
      </w:pPr>
      <w:r>
        <w:t xml:space="preserve">核心解读：网上商品和服务零售额增长4.8%，在线旅游和在线生活服务销售额分别增长24.9%和16.3%，消费线上化与服务消费韧性得到数据支持。</w:t>
      </w:r>
    </w:p>
    <w:p>
      <w:pPr>
        <w:numPr>
          <w:ilvl w:val="0"/>
          <w:numId w:val="1005"/>
        </w:numPr>
        <w:pStyle w:val="Compact"/>
      </w:pPr>
      <w:r>
        <w:t xml:space="preserve">验证条件：电商、文旅板块放量并有业绩兑现；若流量增长未转化为利润，则只作跟踪。</w:t>
      </w:r>
    </w:p>
    <w:p>
      <w:pPr>
        <w:pStyle w:val="Heading4"/>
      </w:pPr>
      <w:bookmarkStart w:id="28" w:name="多家商业银行发布优化后的消费贷贴息政策执行方案"/>
      <w:r>
        <w:t xml:space="preserve">多家商业银行发布优化后的消费贷贴息政策执行方案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A股影响：利好</w:t>
      </w:r>
    </w:p>
    <w:p>
      <w:pPr>
        <w:numPr>
          <w:ilvl w:val="0"/>
          <w:numId w:val="1006"/>
        </w:numPr>
        <w:pStyle w:val="Compact"/>
      </w:pPr>
      <w:r>
        <w:t xml:space="preserve">相关板块：银行零售金融、汽车、家电、家居、消费金融</w:t>
      </w:r>
    </w:p>
    <w:p>
      <w:pPr>
        <w:numPr>
          <w:ilvl w:val="0"/>
          <w:numId w:val="1006"/>
        </w:numPr>
        <w:pStyle w:val="Compact"/>
      </w:pPr>
      <w:r>
        <w:t xml:space="preserve">核心解读：单家银行个人消费贷和信用卡分期累计贴息上限由每年3000元提高到5000元，范围扩展至汽车、装修等分期，属于可执行的实质促消费政策。</w:t>
      </w:r>
    </w:p>
    <w:p>
      <w:pPr>
        <w:numPr>
          <w:ilvl w:val="0"/>
          <w:numId w:val="1006"/>
        </w:numPr>
        <w:pStyle w:val="Compact"/>
      </w:pPr>
      <w:r>
        <w:t xml:space="preserve">验证条件：消费信贷投放、汽车家电销售及银行板块资金同步改善；若需求不足或资产质量承压，利好强度下降。</w:t>
      </w:r>
    </w:p>
    <w:p>
      <w:pPr>
        <w:pStyle w:val="Heading4"/>
      </w:pPr>
      <w:bookmarkStart w:id="29" w:name="我国矿山生态保护修复向绿向新"/>
      <w:r>
        <w:t xml:space="preserve">我国矿山生态保护修复向绿向新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A股影响：偏利好</w:t>
      </w:r>
    </w:p>
    <w:p>
      <w:pPr>
        <w:numPr>
          <w:ilvl w:val="0"/>
          <w:numId w:val="1007"/>
        </w:numPr>
        <w:pStyle w:val="Compact"/>
      </w:pPr>
      <w:r>
        <w:t xml:space="preserve">相关板块：绿色矿山、生态修复、新能源基地、矿山装备</w:t>
      </w:r>
    </w:p>
    <w:p>
      <w:pPr>
        <w:numPr>
          <w:ilvl w:val="0"/>
          <w:numId w:val="1007"/>
        </w:numPr>
        <w:pStyle w:val="Compact"/>
      </w:pPr>
      <w:r>
        <w:t xml:space="preserve">核心解读：国家级绿色矿山达到699个，发改委提出完善生态补偿和投融资机制，利好修复工程与绿色开采设备的中期需求。</w:t>
      </w:r>
    </w:p>
    <w:p>
      <w:pPr>
        <w:numPr>
          <w:ilvl w:val="0"/>
          <w:numId w:val="1007"/>
        </w:numPr>
        <w:pStyle w:val="Compact"/>
      </w:pPr>
      <w:r>
        <w:t xml:space="preserve">验证条件：治理项目、装备订单及资本开支持续落地；无资金和订单验证时不形成短线主线。</w:t>
      </w:r>
    </w:p>
    <w:p>
      <w:pPr>
        <w:pStyle w:val="Heading4"/>
      </w:pPr>
      <w:bookmarkStart w:id="30" w:name="国产农机新装上阵"/>
      <w:r>
        <w:t xml:space="preserve">国产农机</w:t>
      </w:r>
      <w:r>
        <w:t xml:space="preserve">“</w:t>
      </w:r>
      <w:r>
        <w:t xml:space="preserve">新装</w:t>
      </w:r>
      <w:r>
        <w:t xml:space="preserve">”</w:t>
      </w:r>
      <w:r>
        <w:t xml:space="preserve">上阵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相关板块：智能农机、农业自动化、传感器、丘陵农机</w:t>
      </w:r>
    </w:p>
    <w:p>
      <w:pPr>
        <w:numPr>
          <w:ilvl w:val="0"/>
          <w:numId w:val="1008"/>
        </w:numPr>
        <w:pStyle w:val="Compact"/>
      </w:pPr>
      <w:r>
        <w:t xml:space="preserve">核心解读：中央财政累计投入超70亿元推进短板机具攻关，高端智能农机和丘陵山区机具实现产业化，政策与装备更新方向明确。</w:t>
      </w:r>
    </w:p>
    <w:p>
      <w:pPr>
        <w:numPr>
          <w:ilvl w:val="0"/>
          <w:numId w:val="1008"/>
        </w:numPr>
        <w:pStyle w:val="Compact"/>
      </w:pPr>
      <w:r>
        <w:t xml:space="preserve">验证条件：农机销量、补贴落地和上市公司订单增长；若板块无量或仅概念炒作则不追高。</w:t>
      </w:r>
    </w:p>
    <w:p>
      <w:pPr>
        <w:pStyle w:val="Heading4"/>
      </w:pPr>
      <w:bookmarkStart w:id="31" w:name="第二届世界人形机器人运动会在北京开幕"/>
      <w:r>
        <w:t xml:space="preserve">第二届世界人形机器人运动会在北京开幕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A股影响：利好</w:t>
      </w:r>
    </w:p>
    <w:p>
      <w:pPr>
        <w:numPr>
          <w:ilvl w:val="0"/>
          <w:numId w:val="1009"/>
        </w:numPr>
        <w:pStyle w:val="Compact"/>
      </w:pPr>
      <w:r>
        <w:t xml:space="preserve">相关板块：人形机器人、减速器、伺服电机、传感器、机器视觉</w:t>
      </w:r>
    </w:p>
    <w:p>
      <w:pPr>
        <w:numPr>
          <w:ilvl w:val="0"/>
          <w:numId w:val="1009"/>
        </w:numPr>
        <w:pStyle w:val="Compact"/>
      </w:pPr>
      <w:r>
        <w:t xml:space="preserve">核心解读：2000多台机器人参与30项竞技赛和21项场景赛，验证运动控制、集群协同、大模型感知与决策，赛事具备较强情绪催化和产业展示效应。</w:t>
      </w:r>
    </w:p>
    <w:p>
      <w:pPr>
        <w:numPr>
          <w:ilvl w:val="0"/>
          <w:numId w:val="1009"/>
        </w:numPr>
        <w:pStyle w:val="Compact"/>
      </w:pPr>
      <w:r>
        <w:t xml:space="preserve">验证条件：机器人板块资金流入、核心零部件放量且前排不高开低走；赛事结束后热度快速衰减则失效。</w:t>
      </w:r>
    </w:p>
    <w:p>
      <w:pPr>
        <w:pStyle w:val="Heading4"/>
      </w:pPr>
      <w:bookmarkStart w:id="32" w:name="中国第16次北冰洋考察冰站调查全部完成"/>
      <w:r>
        <w:t xml:space="preserve">中国第16次北冰洋考察冰站调查全部完成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A股影响：中性</w:t>
      </w:r>
    </w:p>
    <w:p>
      <w:pPr>
        <w:numPr>
          <w:ilvl w:val="0"/>
          <w:numId w:val="1010"/>
        </w:numPr>
        <w:pStyle w:val="Compact"/>
      </w:pPr>
      <w:r>
        <w:t xml:space="preserve">相关板块：海洋装备、卫星遥感、气象监测</w:t>
      </w:r>
    </w:p>
    <w:p>
      <w:pPr>
        <w:numPr>
          <w:ilvl w:val="0"/>
          <w:numId w:val="1010"/>
        </w:numPr>
        <w:pStyle w:val="Compact"/>
      </w:pPr>
      <w:r>
        <w:t xml:space="preserve">核心解读：19个冰站调查和无人值守观测网取得进展，利于长期科研装备需求，但没有新增商业订单金额。</w:t>
      </w:r>
    </w:p>
    <w:p>
      <w:pPr>
        <w:numPr>
          <w:ilvl w:val="0"/>
          <w:numId w:val="1010"/>
        </w:numPr>
        <w:pStyle w:val="Compact"/>
      </w:pPr>
      <w:r>
        <w:t xml:space="preserve">验证条件：后续设备采购、科研项目或国产装备订单落地；没有商业化信息则维持中性。</w:t>
      </w:r>
    </w:p>
    <w:p>
      <w:pPr>
        <w:pStyle w:val="Heading4"/>
      </w:pPr>
      <w:bookmarkStart w:id="33" w:name="国内联播快讯"/>
      <w:r>
        <w:t xml:space="preserve">国内联播快讯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A股影响：中性偏利好</w:t>
      </w:r>
    </w:p>
    <w:p>
      <w:pPr>
        <w:numPr>
          <w:ilvl w:val="0"/>
          <w:numId w:val="1011"/>
        </w:numPr>
        <w:pStyle w:val="Compact"/>
      </w:pPr>
      <w:r>
        <w:t xml:space="preserve">相关板块：保险、外贸、应急救灾、职业教育</w:t>
      </w:r>
    </w:p>
    <w:p>
      <w:pPr>
        <w:numPr>
          <w:ilvl w:val="0"/>
          <w:numId w:val="1011"/>
        </w:numPr>
        <w:pStyle w:val="Compact"/>
      </w:pPr>
      <w:r>
        <w:t xml:space="preserve">核心解读：非车险治理利于行业规范但压制不合规销售；对APEC其他经济体进出口18.03万亿元、增长21%，支持外贸链；三台风带来应急物资与沿海供应链扰动。</w:t>
      </w:r>
    </w:p>
    <w:p>
      <w:pPr>
        <w:numPr>
          <w:ilvl w:val="0"/>
          <w:numId w:val="1011"/>
        </w:numPr>
        <w:pStyle w:val="Compact"/>
      </w:pPr>
      <w:r>
        <w:t xml:space="preserve">验证条件：保险合规龙头相对走强、外贸订单兑现；台风若造成停产物流中断，则相关区域公司承压。</w:t>
      </w:r>
    </w:p>
    <w:p>
      <w:pPr>
        <w:pStyle w:val="Heading4"/>
      </w:pPr>
      <w:bookmarkStart w:id="34" w:name="伊朗称参与美对伊经济战的国家将被视为敌人"/>
      <w:r>
        <w:t xml:space="preserve">伊朗称参与美对伊</w:t>
      </w:r>
      <w:r>
        <w:t xml:space="preserve">“</w:t>
      </w:r>
      <w:r>
        <w:t xml:space="preserve">经济战</w:t>
      </w:r>
      <w:r>
        <w:t xml:space="preserve">”</w:t>
      </w:r>
      <w:r>
        <w:t xml:space="preserve">的国家将被视为敌人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A股影响：偏利空</w:t>
      </w:r>
    </w:p>
    <w:p>
      <w:pPr>
        <w:numPr>
          <w:ilvl w:val="0"/>
          <w:numId w:val="1012"/>
        </w:numPr>
        <w:pStyle w:val="Compact"/>
      </w:pPr>
      <w:r>
        <w:t xml:space="preserve">相关板块：油气、油运偏受益；航空、化工下游、全球成长资产承压</w:t>
      </w:r>
    </w:p>
    <w:p>
      <w:pPr>
        <w:numPr>
          <w:ilvl w:val="0"/>
          <w:numId w:val="1012"/>
        </w:numPr>
        <w:pStyle w:val="Compact"/>
      </w:pPr>
      <w:r>
        <w:t xml:space="preserve">核心解读：伊朗将霍尔木兹海峡石油运输作为反制工具，提升供应中断尾部风险；当前WTI下跌1.29%不代表地缘风险消失。</w:t>
      </w:r>
    </w:p>
    <w:p>
      <w:pPr>
        <w:numPr>
          <w:ilvl w:val="0"/>
          <w:numId w:val="1012"/>
        </w:numPr>
        <w:pStyle w:val="Compact"/>
      </w:pPr>
      <w:r>
        <w:t xml:space="preserve">验证条件：原油、油运和黄金是否同步走强；若外交缓和且运输正常，风险溢价下降。</w:t>
      </w:r>
    </w:p>
    <w:p>
      <w:pPr>
        <w:pStyle w:val="Heading4"/>
      </w:pPr>
      <w:bookmarkStart w:id="35" w:name="加拿大宣布对美等额反制关税将于9月8日生效"/>
      <w:r>
        <w:t xml:space="preserve">加拿大宣布对美等额反制关税将于9月8日生效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A股影响：偏利空</w:t>
      </w:r>
    </w:p>
    <w:p>
      <w:pPr>
        <w:numPr>
          <w:ilvl w:val="0"/>
          <w:numId w:val="1013"/>
        </w:numPr>
        <w:pStyle w:val="Compact"/>
      </w:pPr>
      <w:r>
        <w:t xml:space="preserve">相关板块：钢铁、家电、纸浆造纸、电子产品、出口链</w:t>
      </w:r>
    </w:p>
    <w:p>
      <w:pPr>
        <w:numPr>
          <w:ilvl w:val="0"/>
          <w:numId w:val="1013"/>
        </w:numPr>
        <w:pStyle w:val="Compact"/>
      </w:pPr>
      <w:r>
        <w:t xml:space="preserve">核心解读：加拿大拟对价值200亿美元的美国商品实施等额反制关税，贸易摩擦可能扰动北美需求、成本和转口链。</w:t>
      </w:r>
    </w:p>
    <w:p>
      <w:pPr>
        <w:numPr>
          <w:ilvl w:val="0"/>
          <w:numId w:val="1013"/>
        </w:numPr>
        <w:pStyle w:val="Compact"/>
      </w:pPr>
      <w:r>
        <w:t xml:space="preserve">验证条件：关税清单与执行细则落地、相关商品价格和订单变化；若谈判重启并延期实施，负面映射减弱。</w:t>
      </w:r>
    </w:p>
    <w:p>
      <w:pPr>
        <w:pStyle w:val="Heading4"/>
      </w:pPr>
      <w:bookmarkStart w:id="36" w:name="国际联播快讯"/>
      <w:r>
        <w:t xml:space="preserve">国际联播快讯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A股影响：中性偏利空</w:t>
      </w:r>
    </w:p>
    <w:p>
      <w:pPr>
        <w:numPr>
          <w:ilvl w:val="0"/>
          <w:numId w:val="1014"/>
        </w:numPr>
        <w:pStyle w:val="Compact"/>
      </w:pPr>
      <w:r>
        <w:t xml:space="preserve">相关板块：水电工程、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、军工、能源安全、供应链</w:t>
      </w:r>
    </w:p>
    <w:p>
      <w:pPr>
        <w:numPr>
          <w:ilvl w:val="0"/>
          <w:numId w:val="1014"/>
        </w:numPr>
        <w:pStyle w:val="Compact"/>
      </w:pPr>
      <w:r>
        <w:t xml:space="preserve">核心解读：坦桑尼亚水电项目投运利好中国海外工程形象；叙以摩擦和日本地震增加区域安全与供应链不确定性，其他事项无直接A股映射。</w:t>
      </w:r>
    </w:p>
    <w:p>
      <w:pPr>
        <w:numPr>
          <w:ilvl w:val="0"/>
          <w:numId w:val="1014"/>
        </w:numPr>
        <w:pStyle w:val="Compact"/>
      </w:pPr>
      <w:r>
        <w:t xml:space="preserve">验证条件：新增海外订单、地缘事件升级或日本供应链停产确认；没有进一步影响则保持中性。</w:t>
      </w:r>
    </w:p>
    <w:p>
      <w:pPr>
        <w:pStyle w:val="Heading4"/>
      </w:pPr>
      <w:bookmarkStart w:id="37" w:name="二十四节气处暑"/>
      <w:r>
        <w:t xml:space="preserve">二十四节气·处暑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A股影响：中性</w:t>
      </w:r>
    </w:p>
    <w:p>
      <w:pPr>
        <w:numPr>
          <w:ilvl w:val="0"/>
          <w:numId w:val="1015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15"/>
        </w:numPr>
        <w:pStyle w:val="Compact"/>
      </w:pPr>
      <w:r>
        <w:t xml:space="preserve">核心解读：属于节气文化与农业景观报道，不构成可验证的上市公司盈利催化。</w:t>
      </w:r>
    </w:p>
    <w:p>
      <w:pPr>
        <w:numPr>
          <w:ilvl w:val="0"/>
          <w:numId w:val="1015"/>
        </w:numPr>
        <w:pStyle w:val="Compact"/>
      </w:pPr>
      <w:r>
        <w:t xml:space="preserve">验证条件：无直接交易验证条件，不据此建立仓位。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重要公告"/>
      <w:r>
        <w:t xml:space="preserve">📋 今日重要公告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，增减持、解禁、业绩、停复牌、重组及监管问询均为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🚫 接口失败不能写成</w:t>
      </w:r>
      <w:r>
        <w:t xml:space="preserve">“</w:t>
      </w:r>
      <w:r>
        <w:t xml:space="preserve">今日无重大公告</w:t>
      </w:r>
      <w:r>
        <w:t xml:space="preserve">”</w:t>
      </w:r>
      <w:r>
        <w:t xml:space="preserve">；持仓和候选股开盘前必须再次核对交易所公告。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经济数据与事件"/>
      <w:r>
        <w:t xml:space="preserve">📅 今日经济数据与事件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📅 公开经济日历显示8月24日海外日程相对清淡，主要有新加坡7月通胀、墨西哥二季度GDP终值及美国芝加哥联储全国活动指数；这些日程为网页单源补充，结果尚未发布或核验。</w:t>
      </w:r>
    </w:p>
    <w:p>
      <w:pPr>
        <w:numPr>
          <w:ilvl w:val="0"/>
          <w:numId w:val="1017"/>
        </w:numPr>
        <w:pStyle w:val="Compact"/>
      </w:pPr>
      <w:r>
        <w:t xml:space="preserve">💰 国内CPI/PPI/PMI/GDP、社融/M2、MLF/LPR及当日公开市场操作量未进入采集JSON，均按</w:t>
      </w:r>
      <w:r>
        <w:rPr>
          <w:b/>
        </w:rPr>
        <w:t xml:space="preserve">未核验</w:t>
      </w:r>
      <w:r>
        <w:t xml:space="preserve">处理。</w:t>
      </w:r>
    </w:p>
    <w:p>
      <w:pPr>
        <w:numPr>
          <w:ilvl w:val="0"/>
          <w:numId w:val="1017"/>
        </w:numPr>
        <w:pStyle w:val="Compact"/>
      </w:pPr>
      <w:r>
        <w:t xml:space="preserve">⚠️ 本周后续海外数据和央行信号可能影响成长估值，但今日盘前不预写尚未发布的结果。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全球重要事件"/>
      <w:r>
        <w:t xml:space="preserve">🌍 全球重要事件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中东能源安全</w:t>
      </w:r>
      <w:r>
        <w:t xml:space="preserve">：伊朗对参与</w:t>
      </w:r>
      <w:r>
        <w:t xml:space="preserve">“</w:t>
      </w:r>
      <w:r>
        <w:t xml:space="preserve">经济战</w:t>
      </w:r>
      <w:r>
        <w:t xml:space="preserve">”</w:t>
      </w:r>
      <w:r>
        <w:t xml:space="preserve">的国家发出警告，霍尔木兹海峡供应风险仍是油气、油运与航空化工的主要外部变量。</w:t>
      </w:r>
    </w:p>
    <w:p>
      <w:pPr>
        <w:numPr>
          <w:ilvl w:val="0"/>
          <w:numId w:val="1018"/>
        </w:numPr>
        <w:pStyle w:val="Compact"/>
      </w:pPr>
      <w:r>
        <w:t xml:space="preserve">🌐</w:t>
      </w:r>
      <w:r>
        <w:t xml:space="preserve"> </w:t>
      </w:r>
      <w:r>
        <w:rPr>
          <w:b/>
        </w:rPr>
        <w:t xml:space="preserve">加美贸易摩擦</w:t>
      </w:r>
      <w:r>
        <w:t xml:space="preserve">：加拿大反制关税计划9月8日生效，钢铁、家电、纸浆和电子产品出口链需评估订单与成本影响。</w:t>
      </w:r>
    </w:p>
    <w:p>
      <w:pPr>
        <w:numPr>
          <w:ilvl w:val="0"/>
          <w:numId w:val="1018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机器人产业赛事</w:t>
      </w:r>
      <w:r>
        <w:t xml:space="preserve">：世界人形机器人运动会持续5天，技术展示可能提高板块热度，但赛事催化不等同于订单和业绩。</w:t>
      </w:r>
    </w:p>
    <w:p>
      <w:pPr>
        <w:numPr>
          <w:ilvl w:val="0"/>
          <w:numId w:val="1018"/>
        </w:numPr>
        <w:pStyle w:val="Compact"/>
      </w:pPr>
      <w:r>
        <w:t xml:space="preserve">🌪️</w:t>
      </w:r>
      <w:r>
        <w:t xml:space="preserve"> </w:t>
      </w:r>
      <w:r>
        <w:rPr>
          <w:b/>
        </w:rPr>
        <w:t xml:space="preserve">三台风影响东南沿海</w:t>
      </w:r>
      <w:r>
        <w:t xml:space="preserve">：强降雨可能扰动港口、物流、农业和区域生产，应关注停工停运公告；不得提前假设灾损金额。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上一交易日复盘要点"/>
      <w:r>
        <w:t xml:space="preserve">📊 上一交易日复盘要点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3905.2026，+0.0380%</w:t>
      </w:r>
      <w:r>
        <w:t xml:space="preserve">；深证成指</w:t>
      </w:r>
      <w:r>
        <w:t xml:space="preserve"> </w:t>
      </w:r>
      <w:r>
        <w:rPr>
          <w:b/>
        </w:rPr>
        <w:t xml:space="preserve">14094.168，+0.8687%</w:t>
      </w:r>
      <w:r>
        <w:t xml:space="preserve">；创业板指</w:t>
      </w:r>
      <w:r>
        <w:t xml:space="preserve"> </w:t>
      </w:r>
      <w:r>
        <w:rPr>
          <w:b/>
        </w:rPr>
        <w:t xml:space="preserve">3545.577，+1.4300%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📈 科创50</w:t>
      </w:r>
      <w:r>
        <w:t xml:space="preserve"> </w:t>
      </w:r>
      <w:r>
        <w:rPr>
          <w:b/>
        </w:rPr>
        <w:t xml:space="preserve">1653.5551，+0.0353%</w:t>
      </w:r>
      <w:r>
        <w:t xml:space="preserve">；沪深300</w:t>
      </w:r>
      <w:r>
        <w:t xml:space="preserve"> </w:t>
      </w:r>
      <w:r>
        <w:rPr>
          <w:b/>
        </w:rPr>
        <w:t xml:space="preserve">4618.8952，+0.5693%</w:t>
      </w:r>
      <w:r>
        <w:t xml:space="preserve">。指数点位与涨跌幅经新浪、东方财富、腾讯三源校验一致。</w:t>
      </w:r>
    </w:p>
    <w:p>
      <w:pPr>
        <w:numPr>
          <w:ilvl w:val="0"/>
          <w:numId w:val="1019"/>
        </w:numPr>
        <w:pStyle w:val="Compact"/>
      </w:pPr>
      <w:r>
        <w:t xml:space="preserve">🟢🔴 同花顺单源：上涨</w:t>
      </w:r>
      <w:r>
        <w:t xml:space="preserve"> </w:t>
      </w:r>
      <w:r>
        <w:rPr>
          <w:b/>
        </w:rPr>
        <w:t xml:space="preserve">2505</w:t>
      </w:r>
      <w:r>
        <w:t xml:space="preserve">、下跌</w:t>
      </w:r>
      <w:r>
        <w:t xml:space="preserve"> </w:t>
      </w:r>
      <w:r>
        <w:rPr>
          <w:b/>
        </w:rPr>
        <w:t xml:space="preserve">2862</w:t>
      </w:r>
      <w:r>
        <w:t xml:space="preserve">、平盘</w:t>
      </w:r>
      <w:r>
        <w:t xml:space="preserve"> </w:t>
      </w:r>
      <w:r>
        <w:rPr>
          <w:b/>
        </w:rPr>
        <w:t xml:space="preserve">176</w:t>
      </w:r>
      <w:r>
        <w:t xml:space="preserve">、停牌</w:t>
      </w:r>
      <w:r>
        <w:t xml:space="preserve"> </w:t>
      </w:r>
      <w:r>
        <w:rPr>
          <w:b/>
        </w:rPr>
        <w:t xml:space="preserve">6</w:t>
      </w:r>
      <w:r>
        <w:t xml:space="preserve">；涨停</w:t>
      </w:r>
      <w:r>
        <w:t xml:space="preserve"> </w:t>
      </w:r>
      <w:r>
        <w:rPr>
          <w:b/>
        </w:rPr>
        <w:t xml:space="preserve">57</w:t>
      </w:r>
      <w:r>
        <w:t xml:space="preserve">、跌停</w:t>
      </w:r>
      <w:r>
        <w:t xml:space="preserve"> </w:t>
      </w:r>
      <w:r>
        <w:rPr>
          <w:b/>
        </w:rPr>
        <w:t xml:space="preserve">14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18922.57亿元</w:t>
      </w:r>
      <w:r>
        <w:t xml:space="preserve">；</w:t>
      </w:r>
      <w:r>
        <w:rPr>
          <w:rStyle w:val="VerbatimChar"/>
        </w:rPr>
        <w:t xml:space="preserve">turnover_comparison_scope=unverified</w:t>
      </w:r>
      <w:r>
        <w:t xml:space="preserve">，不得引用成交额变化百分比。</w:t>
      </w:r>
    </w:p>
    <w:p>
      <w:pPr>
        <w:numPr>
          <w:ilvl w:val="0"/>
          <w:numId w:val="1019"/>
        </w:numPr>
        <w:pStyle w:val="Compact"/>
      </w:pPr>
      <w:r>
        <w:t xml:space="preserve">🎭 派生市场风格为</w:t>
      </w:r>
      <w:r>
        <w:rPr>
          <w:b/>
        </w:rPr>
        <w:t xml:space="preserve">震荡/均衡</w:t>
      </w:r>
      <w:r>
        <w:t xml:space="preserve">；创业板强于沪指，但下跌家数多于上涨家数，指数与个股赚钱效应并未全面共振。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资金流向top10与数据缺口"/>
      <w:r>
        <w:t xml:space="preserve">💰 资金流向TOP10与数据缺口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主力资金流入TOP10：未核验（采集JSON可用条目0/10，金额不可得）</w:t>
      </w:r>
      <w:r>
        <w:t xml:space="preserve">。</w:t>
      </w:r>
      <w:r>
        <w:rPr>
          <w:rStyle w:val="VerbatimChar"/>
        </w:rPr>
        <w:t xml:space="preserve">money_flow.ok=false</w:t>
      </w:r>
      <w:r>
        <w:t xml:space="preserve">，禁止用华泰文本或涨幅榜自行补齐。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主力资金流出TOP10：未核验（采集JSON可用条目0/10，金额不可得）</w:t>
      </w:r>
      <w:r>
        <w:t xml:space="preserve">。接口失败不等于没有资金流出。</w:t>
      </w:r>
    </w:p>
    <w:p>
      <w:pPr>
        <w:numPr>
          <w:ilvl w:val="0"/>
          <w:numId w:val="1020"/>
        </w:numPr>
        <w:pStyle w:val="Compact"/>
      </w:pPr>
      <w:r>
        <w:t xml:space="preserve">🚫 板块表现、活跃个股、涨跌停样本和核心个股多源校验同样缺失；今日方向均采用</w:t>
      </w:r>
      <w:r>
        <w:t xml:space="preserve">“</w:t>
      </w:r>
      <w:r>
        <w:t xml:space="preserve">触发后参与</w:t>
      </w:r>
      <w:r>
        <w:t xml:space="preserve">”</w:t>
      </w:r>
      <w:r>
        <w:t xml:space="preserve">的条件式预案。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今日操作策略"/>
      <w:r>
        <w:t xml:space="preserve">🎯 今日操作策略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市场预判：震荡分化</w:t>
      </w:r>
      <w:r>
        <w:t xml:space="preserve">。创业板上一交易日上涨1.4300%，但全市场下跌2862家、多于上涨2505家；A50盘前下跌0.12%，不支持无条件追高。</w:t>
      </w:r>
    </w:p>
    <w:p>
      <w:pPr>
        <w:numPr>
          <w:ilvl w:val="0"/>
          <w:numId w:val="102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指数观察</w:t>
      </w:r>
      <w:r>
        <w:t xml:space="preserve">：沪指关注上一交易日低点3883.7870与高点3912.1314；创业板关注前收3495.589能否守住。上述仅为上一交易日可核参考，不是技术模型支撑阻力。</w:t>
      </w:r>
    </w:p>
    <w:p>
      <w:pPr>
        <w:numPr>
          <w:ilvl w:val="0"/>
          <w:numId w:val="102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激进型：60%上限</w:t>
      </w:r>
      <w:r>
        <w:t xml:space="preserve">。只参与机器人或AI算力中开盘后放量、板块扩散且核心股不高开低走的前排。</w:t>
      </w:r>
    </w:p>
    <w:p>
      <w:pPr>
        <w:numPr>
          <w:ilvl w:val="0"/>
          <w:numId w:val="1021"/>
        </w:numPr>
        <w:pStyle w:val="Compact"/>
      </w:pPr>
      <w:r>
        <w:t xml:space="preserve">⚖️</w:t>
      </w:r>
      <w:r>
        <w:t xml:space="preserve"> </w:t>
      </w:r>
      <w:r>
        <w:rPr>
          <w:b/>
        </w:rPr>
        <w:t xml:space="preserve">均衡型：45%</w:t>
      </w:r>
      <w:r>
        <w:t xml:space="preserve">。等待资金榜恢复、指数回稳和板块成交确认后分批参与；消费链以政策落地和低位承接为主。</w:t>
      </w:r>
    </w:p>
    <w:p>
      <w:pPr>
        <w:numPr>
          <w:ilvl w:val="0"/>
          <w:numId w:val="1021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保守型：30%</w:t>
      </w:r>
      <w:r>
        <w:t xml:space="preserve">。银行高股息作为防御底仓，其余保持现金；公告与资金数据恢复前不主动放大仓位。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：资金榜缺失、中报公告盲区、机器人赛事兑现、中东能源风险、加美关税与台风扰动均可能放大波动。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今日重点投资方向"/>
      <w:r>
        <w:t xml:space="preserve">🎯 今日重点投资方向</w:t>
      </w:r>
      <w:bookmarkEnd w:id="44"/>
    </w:p>
    <w:p>
      <w:pPr>
        <w:pStyle w:val="BlockText"/>
      </w:pPr>
      <w:r>
        <w:t xml:space="preserve">⚠️ 本轮缺少结构化板块涨幅、资金流、成交额和涨停样本，以下方向均为</w:t>
      </w:r>
      <w:r>
        <w:t xml:space="preserve">“</w:t>
      </w:r>
      <w:r>
        <w:t xml:space="preserve">政策/事件+指数环境+华泰单源补充</w:t>
      </w:r>
      <w:r>
        <w:t xml:space="preserve">”</w:t>
      </w:r>
      <w:r>
        <w:t xml:space="preserve">的条件式预案，不是已经确认的盘中主线。</w:t>
      </w:r>
    </w:p>
    <w:p>
      <w:pPr>
        <w:pStyle w:val="Heading3"/>
      </w:pPr>
      <w:bookmarkStart w:id="45" w:name="方向一人形机器人运动控制核心零部件优先级观察偏高"/>
      <w:r>
        <w:t xml:space="preserve">🤖 方向一：人形机器人—运动控制/核心零部件（优先级：观察偏高）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：央视确认2000多台机器人参加30项竞技赛和21项场景赛；赛事直接验证电机响应、关节扭矩、运动算法和集群协同；华泰补充文本将人形机器人列为话题方向。结构化资金与板块成交未核验。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：本轮采集未提供可交叉验证的A股核心个股行情；不强行补写名单。盘中只从减速器、伺服电机、传感器和机器视觉的真实资金前排中筛选。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：激进者等首次分歧后的强承接；稳健者等板块资金进入流入前列；保守者只观察，不追赛事刺激形成的一字或大幅高开。</w:t>
      </w:r>
    </w:p>
    <w:p>
      <w:pPr>
        <w:numPr>
          <w:ilvl w:val="0"/>
          <w:numId w:val="102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：板块放量、资金净流入、核心零部件与整机同步走强，且前排不批量高开低走。</w:t>
      </w:r>
    </w:p>
    <w:p>
      <w:pPr>
        <w:numPr>
          <w:ilvl w:val="0"/>
          <w:numId w:val="102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：资金净流出、前排跌破开盘价后无法修复、后排无扩散或赛事热度迅速退潮。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：事件兑现、估值偏高、量产与盈利兑现不及预期、缺少结构化个股校验。</w:t>
      </w:r>
    </w:p>
    <w:p>
      <w:pPr>
        <w:pStyle w:val="Heading3"/>
      </w:pPr>
      <w:bookmarkStart w:id="46" w:name="方向二ai算力光模块服务器存储芯片优先级中"/>
      <w:r>
        <w:t xml:space="preserve">🤖 方向二：AI算力—光模块/服务器/存储芯片（优先级：中）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：创业板上一交易日上涨1.4300%；华泰单源文本将AI服务器涨价、英伟达财报临近和绿色算力大会列为催化；华泰点名新易盛上一交易日上涨6.76%、德明利上涨4.28%。资金流、板块涨幅和核心股多源行情未核验。</w:t>
      </w:r>
    </w:p>
    <w:p>
      <w:pPr>
        <w:numPr>
          <w:ilvl w:val="0"/>
          <w:numId w:val="102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：中际旭创、新易盛（光模块）、浪潮信息（服务器）、德明利（存储）、长电科技（封测），均来自华泰补充观察池，精确盘前价格未获本地三源校验。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：激进者只做放量突破后的回踩承接；稳健者等待科创50与创业板同步转强；保守者不参与高开脉冲。</w:t>
      </w:r>
    </w:p>
    <w:p>
      <w:pPr>
        <w:numPr>
          <w:ilvl w:val="0"/>
          <w:numId w:val="102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：算力板块主力净流入、核心股成交扩散、科创50强于沪指且前排不冲高回落。</w:t>
      </w:r>
    </w:p>
    <w:p>
      <w:pPr>
        <w:numPr>
          <w:ilvl w:val="0"/>
          <w:numId w:val="102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：科创50转弱、板块资金净流出、核心股跌破开盘价或只剩单一个股脉冲。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：高估值、财报前兑现、海外利率扰动、华泰单源信息偏差。</w:t>
      </w:r>
    </w:p>
    <w:p>
      <w:pPr>
        <w:pStyle w:val="Heading3"/>
      </w:pPr>
      <w:bookmarkStart w:id="47" w:name="方向三扩内需消费金融汽车家居电商文旅优先级中"/>
      <w:r>
        <w:t xml:space="preserve">💳 方向三：扩内需—消费金融/汽车家居/电商文旅（优先级：中）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：消费贴息上限由每年3000元提高到5000元并扩展至汽车、装修等分期；网上商品和服务零售额增长4.8%；在线旅游、在线生活服务分别增长24.9%和16.3%。政策和统计均来自央视原文，板块资金未核验。</w:t>
      </w:r>
    </w:p>
    <w:p>
      <w:pPr>
        <w:numPr>
          <w:ilvl w:val="0"/>
          <w:numId w:val="102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：工商银行（601398，零售金融防御样本）、重百集团（600729，华泰消费候选）、三峡旅游（002627，华泰文旅候选）；后两只精确行情未核验。</w:t>
      </w:r>
    </w:p>
    <w:p>
      <w:pPr>
        <w:numPr>
          <w:ilvl w:val="0"/>
          <w:numId w:val="102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：激进者只做政策受益链中低位放量前排；稳健者优先银行防御和有业绩兑现的消费龙头；保守者只持有、不追高。</w:t>
      </w:r>
    </w:p>
    <w:p>
      <w:pPr>
        <w:numPr>
          <w:ilvl w:val="0"/>
          <w:numId w:val="102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：银行与消费板块获得真实资金流入，汽车家居或文旅出现成交扩散，核心股强于指数。</w:t>
      </w:r>
    </w:p>
    <w:p>
      <w:pPr>
        <w:numPr>
          <w:ilvl w:val="0"/>
          <w:numId w:val="102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：政策题材高开低走、消费板块资金转负、银行同步跌破前收并弱于沪深300。</w:t>
      </w:r>
    </w:p>
    <w:p>
      <w:pPr>
        <w:numPr>
          <w:ilvl w:val="0"/>
          <w:numId w:val="102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：居民加杠杆意愿不足、贴息转化率不及预期、消费股业绩分化。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华泰自选股观察"/>
      <w:r>
        <w:t xml:space="preserve">🧾 华泰自选股观察</w:t>
      </w:r>
      <w:bookmarkEnd w:id="48"/>
    </w:p>
    <w:p>
      <w:pPr>
        <w:pStyle w:val="FirstParagraph"/>
      </w:pPr>
      <w:r>
        <w:t xml:space="preserve">三只自选股呈现</w:t>
      </w:r>
      <w:r>
        <w:t xml:space="preserve">“</w:t>
      </w:r>
      <w:r>
        <w:t xml:space="preserve">工商银行低波防御、弘元绿能弱共振、风语筑偏弱</w:t>
      </w:r>
      <w:r>
        <w:t xml:space="preserve">”</w:t>
      </w:r>
      <w:r>
        <w:t xml:space="preserve">的结构。风语筑与红色文旅/数字展陈存在政策映射，但价格表现没有确认共振；弘元绿能、风语筑整体仍应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：最新可得价</w:t>
      </w:r>
      <w:r>
        <w:t xml:space="preserve"> </w:t>
      </w:r>
      <w:r>
        <w:rPr>
          <w:b/>
        </w:rPr>
        <w:t xml:space="preserve">16.83元</w:t>
      </w:r>
      <w:r>
        <w:t xml:space="preserve">，涨</w:t>
      </w:r>
      <w:r>
        <w:t xml:space="preserve"> </w:t>
      </w:r>
      <w:r>
        <w:rPr>
          <w:b/>
        </w:rPr>
        <w:t xml:space="preserve">0.36%</w:t>
      </w:r>
      <w:r>
        <w:t xml:space="preserve">，前收16.77元。所属光伏制造/硅片产业链，与机器人、AI算力和扩内需预案无直接主线共振。判断：</w:t>
      </w:r>
      <w:r>
        <w:rPr>
          <w:b/>
        </w:rPr>
        <w:t xml:space="preserve">继续观察、可低吸跟踪但不追高</w:t>
      </w:r>
      <w:r>
        <w:t xml:space="preserve">；只有守住16.77元并出现光伏资金回流才提高优先级。</w:t>
      </w:r>
    </w:p>
    <w:p>
      <w:pPr>
        <w:numPr>
          <w:ilvl w:val="0"/>
          <w:numId w:val="102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：最新可得价</w:t>
      </w:r>
      <w:r>
        <w:t xml:space="preserve"> </w:t>
      </w:r>
      <w:r>
        <w:rPr>
          <w:b/>
        </w:rPr>
        <w:t xml:space="preserve">11.31元</w:t>
      </w:r>
      <w:r>
        <w:t xml:space="preserve">，跌</w:t>
      </w:r>
      <w:r>
        <w:t xml:space="preserve"> </w:t>
      </w:r>
      <w:r>
        <w:rPr>
          <w:b/>
        </w:rPr>
        <w:t xml:space="preserve">1.74%</w:t>
      </w:r>
      <w:r>
        <w:t xml:space="preserve">，前收11.51元。所属数字展陈/文化科技，和红色文旅数字化有政策关联，但价格弱于政策叙事。判断：</w:t>
      </w:r>
      <w:r>
        <w:rPr>
          <w:b/>
        </w:rPr>
        <w:t xml:space="preserve">偏弱、不追高，以跟踪为主、暂不作为主攻方向</w:t>
      </w:r>
      <w:r>
        <w:t xml:space="preserve">；收复11.51元并放量后再评估。</w:t>
      </w:r>
    </w:p>
    <w:p>
      <w:pPr>
        <w:numPr>
          <w:ilvl w:val="0"/>
          <w:numId w:val="102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：最新可得价</w:t>
      </w:r>
      <w:r>
        <w:t xml:space="preserve"> </w:t>
      </w:r>
      <w:r>
        <w:rPr>
          <w:b/>
        </w:rPr>
        <w:t xml:space="preserve">7.77元</w:t>
      </w:r>
      <w:r>
        <w:t xml:space="preserve">，跌</w:t>
      </w:r>
      <w:r>
        <w:t xml:space="preserve"> </w:t>
      </w:r>
      <w:r>
        <w:rPr>
          <w:b/>
        </w:rPr>
        <w:t xml:space="preserve">0.13%</w:t>
      </w:r>
      <w:r>
        <w:t xml:space="preserve">，前收7.78元。所属银行/高股息防御，与消费贷贴息和震荡防御方向存在一定共振。判断：</w:t>
      </w:r>
      <w:r>
        <w:rPr>
          <w:b/>
        </w:rPr>
        <w:t xml:space="preserve">继续观察、持有优先于追高</w:t>
      </w:r>
      <w:r>
        <w:t xml:space="preserve">；重新站稳7.78元且银行相对沪深300走强后可低吸跟踪。</w:t>
      </w:r>
    </w:p>
    <w:p>
      <w:pPr>
        <w:pStyle w:val="FirstParagraph"/>
      </w:pPr>
      <w:r>
        <w:t xml:space="preserve">⚠️ 三只行情来自华泰单源；</w:t>
      </w:r>
      <w:r>
        <w:rPr>
          <w:rStyle w:val="VerbatimChar"/>
        </w:rPr>
        <w:t xml:space="preserve">stock_quote_cross_checks</w:t>
      </w:r>
      <w:r>
        <w:t xml:space="preserve">因HTTP 502失败，未完成新浪、东方财富、腾讯个股交叉校验，结论置信度下调。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用户实盘持仓策略"/>
      <w:r>
        <w:t xml:space="preserve">💼 用户实盘持仓策略</w:t>
      </w:r>
      <w:bookmarkEnd w:id="49"/>
    </w:p>
    <w:p>
      <w:pPr>
        <w:pStyle w:val="Heading3"/>
      </w:pPr>
      <w:bookmarkStart w:id="50" w:name="弘元绿能300股成本26.6669元"/>
      <w:r>
        <w:t xml:space="preserve">📉 603185 弘元绿能｜300股｜成本26.6669元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16.83元</w:t>
      </w:r>
      <w:r>
        <w:t xml:space="preserve">，账面</w:t>
      </w:r>
      <w:r>
        <w:t xml:space="preserve"> </w:t>
      </w:r>
      <w:r>
        <w:rPr>
          <w:b/>
        </w:rPr>
        <w:t xml:space="preserve">-36.89%</w:t>
      </w:r>
      <w:r>
        <w:t xml:space="preserve">、浮亏</w:t>
      </w:r>
      <w:r>
        <w:t xml:space="preserve"> </w:t>
      </w:r>
      <w:r>
        <w:rPr>
          <w:b/>
        </w:rPr>
        <w:t xml:space="preserve">2951.07元</w:t>
      </w:r>
      <w:r>
        <w:t xml:space="preserve">（未计佣金税费）；趋势、成交量、K线关键位和公告未核验。</w:t>
      </w:r>
    </w:p>
    <w:p>
      <w:pPr>
        <w:numPr>
          <w:ilvl w:val="0"/>
          <w:numId w:val="102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今日动作：减仓观察</w:t>
      </w:r>
      <w:r>
        <w:t xml:space="preserve">。深套不是补仓理由，不以26.6669元回本价作为唯一决策锚。</w:t>
      </w:r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：跌破16.77元后不能快速收回，且光伏板块无资金承接时分批减仓；若向15.09元跌停参考价持续运行且无承接，进一步控制风险。</w:t>
      </w:r>
    </w:p>
    <w:p>
      <w:pPr>
        <w:numPr>
          <w:ilvl w:val="0"/>
          <w:numId w:val="102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：仅在重新站稳16.83元、回踩16.77元不破，同时光伏板块资金净流入与成交扩散确认后，小仓评估。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：光伏继续失去主线地位、价格放量跌破16.77元、公告出现负面信息；禁止无条件摊薄。</w:t>
      </w:r>
    </w:p>
    <w:p>
      <w:pPr>
        <w:pStyle w:val="Heading3"/>
      </w:pPr>
      <w:bookmarkStart w:id="51" w:name="风语筑700股成本13.2159元"/>
      <w:r>
        <w:t xml:space="preserve">📉 603466 风语筑｜700股｜成本13.2159元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11.31元</w:t>
      </w:r>
      <w:r>
        <w:t xml:space="preserve">，账面</w:t>
      </w:r>
      <w:r>
        <w:t xml:space="preserve"> </w:t>
      </w:r>
      <w:r>
        <w:rPr>
          <w:b/>
        </w:rPr>
        <w:t xml:space="preserve">-14.42%</w:t>
      </w:r>
      <w:r>
        <w:t xml:space="preserve">、浮亏</w:t>
      </w:r>
      <w:r>
        <w:t xml:space="preserve"> </w:t>
      </w:r>
      <w:r>
        <w:rPr>
          <w:b/>
        </w:rPr>
        <w:t xml:space="preserve">1334.13元</w:t>
      </w:r>
      <w:r>
        <w:t xml:space="preserve">（未计佣金税费）；较前收跌1.74%，是三只有报价持仓中表现最弱者。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今日动作：优先减仓观察</w:t>
      </w:r>
      <w:r>
        <w:t xml:space="preserve">，政策映射不能替代价格与资金确认。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：反弹不能收复11.51元并再次转弱时减仓；跌破11.30元买一参考且不能快速收回时继续降仓，向10.36元跌停参考价运行时不赌反抽。</w:t>
      </w:r>
    </w:p>
    <w:p>
      <w:pPr>
        <w:numPr>
          <w:ilvl w:val="0"/>
          <w:numId w:val="102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：只有有效站稳11.51元、数字展陈/文化科技板块获得真实资金流入、个股成交放大并强于板块时才评估。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：红色文旅映射仅停留在题材、板块无共振、公告负面或单源价格偏差；禁止因低于成本无条件补仓。</w:t>
      </w:r>
    </w:p>
    <w:p>
      <w:pPr>
        <w:pStyle w:val="Heading3"/>
      </w:pPr>
      <w:bookmarkStart w:id="52" w:name="工商银行1900股成本7.0601元"/>
      <w:r>
        <w:t xml:space="preserve">📈 601398 工商银行｜1900股｜成本7.0601元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7.77元</w:t>
      </w:r>
      <w:r>
        <w:t xml:space="preserve">，账面</w:t>
      </w:r>
      <w:r>
        <w:t xml:space="preserve"> </w:t>
      </w:r>
      <w:r>
        <w:rPr>
          <w:b/>
        </w:rPr>
        <w:t xml:space="preserve">+10.06%</w:t>
      </w:r>
      <w:r>
        <w:t xml:space="preserve">、浮盈</w:t>
      </w:r>
      <w:r>
        <w:t xml:space="preserve"> </w:t>
      </w:r>
      <w:r>
        <w:rPr>
          <w:b/>
        </w:rPr>
        <w:t xml:space="preserve">1348.81元</w:t>
      </w:r>
      <w:r>
        <w:t xml:space="preserve">（未计佣金税费）；较前收跌0.13%，仍是组合内有利润垫的防御持仓。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今日动作：稳健持有，不追高</w:t>
      </w:r>
      <w:r>
        <w:t xml:space="preserve">，以保护浮盈为优先。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：持续低于7.78元且银行板块同步弱于沪深300时锁定部分利润；若向7.00元跌停参考价运行且无承接，执行更严格风控。</w:t>
      </w:r>
    </w:p>
    <w:p>
      <w:pPr>
        <w:numPr>
          <w:ilvl w:val="0"/>
          <w:numId w:val="102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：守住7.77元并重新站稳7.78元，同时银行板块净流入、相对沪深300转强时，才可小仓增加。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：银行补跌、净息差预期恶化、消费信贷需求不及预期、单源行情偏差。</w:t>
      </w:r>
    </w:p>
    <w:p>
      <w:pPr>
        <w:pStyle w:val="Heading3"/>
      </w:pPr>
      <w:bookmarkStart w:id="53" w:name="农业银行5300股成本6.4244元"/>
      <w:r>
        <w:t xml:space="preserve">⚠️ 601288 农业银行｜5300股｜成本6.4244元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📊 本次采集没有农业银行可核最新价，当前盈亏幅度、趋势、支撑阻力和公告均为</w:t>
      </w:r>
      <w:r>
        <w:rPr>
          <w:b/>
        </w:rPr>
        <w:t xml:space="preserve">未核验</w:t>
      </w:r>
      <w:r>
        <w:t xml:space="preserve">；不得沿用旧报价冒充今日盘前事实。</w:t>
      </w:r>
    </w:p>
    <w:p>
      <w:pPr>
        <w:numPr>
          <w:ilvl w:val="0"/>
          <w:numId w:val="102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今日动作：条件式持有，不新增仓位</w:t>
      </w:r>
      <w:r>
        <w:t xml:space="preserve">。取得真实行情前，不把它直接定义为最稳健持仓。</w:t>
      </w:r>
    </w:p>
    <w:p>
      <w:pPr>
        <w:numPr>
          <w:ilvl w:val="0"/>
          <w:numId w:val="102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：获取行情后，若跌破上一交易日可核前收且银行板块同步弱于沪深300，分批保护仓位；若出现公告或基本面负面，重新评估。</w:t>
      </w:r>
    </w:p>
    <w:p>
      <w:pPr>
        <w:numPr>
          <w:ilvl w:val="0"/>
          <w:numId w:val="102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</w:t>
      </w:r>
      <w:r>
        <w:t xml:space="preserve">：只有最新价格、成交量和公告完成核验，且银行板块净流入、个股强于板块时才可考虑。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失效条件与风险</w:t>
      </w:r>
      <w:r>
        <w:t xml:space="preserve">：行情缺失、利率与净息差变化、银行防御交易拥挤；禁止基于未知价格执行加仓。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4" w:name="今日风险清单"/>
      <w:r>
        <w:t xml:space="preserve">⚠️ 今日风险清单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💰 资金流入TOP10与流出TOP10均为0/10可用，主线判断缺少关键资金证据。</w:t>
      </w:r>
    </w:p>
    <w:p>
      <w:pPr>
        <w:numPr>
          <w:ilvl w:val="0"/>
          <w:numId w:val="1030"/>
        </w:numPr>
        <w:pStyle w:val="Compact"/>
      </w:pPr>
      <w:r>
        <w:t xml:space="preserve">📉 下跌2862家、多于上涨2505家，指数修复没有转化为全面赚钱效应。</w:t>
      </w:r>
    </w:p>
    <w:p>
      <w:pPr>
        <w:numPr>
          <w:ilvl w:val="0"/>
          <w:numId w:val="1030"/>
        </w:numPr>
        <w:pStyle w:val="Compact"/>
      </w:pPr>
      <w:r>
        <w:t xml:space="preserve">🤖 人形机器人与AI算力均有事件催化，早盘高开兑现风险突出。</w:t>
      </w:r>
    </w:p>
    <w:p>
      <w:pPr>
        <w:numPr>
          <w:ilvl w:val="0"/>
          <w:numId w:val="1030"/>
        </w:numPr>
        <w:pStyle w:val="Compact"/>
      </w:pPr>
      <w:r>
        <w:t xml:space="preserve">🌍 霍尔木兹海峡与加美关税风险可能扰动能源、出口和成长估值。</w:t>
      </w:r>
    </w:p>
    <w:p>
      <w:pPr>
        <w:numPr>
          <w:ilvl w:val="0"/>
          <w:numId w:val="1030"/>
        </w:numPr>
        <w:pStyle w:val="Compact"/>
      </w:pPr>
      <w:r>
        <w:t xml:space="preserve">📋 公告接口失败，持仓与候选股存在事件信息盲区。</w:t>
      </w:r>
    </w:p>
    <w:p>
      <w:pPr>
        <w:numPr>
          <w:ilvl w:val="0"/>
          <w:numId w:val="1030"/>
        </w:numPr>
        <w:pStyle w:val="Compact"/>
      </w:pPr>
      <w:r>
        <w:t xml:space="preserve">🌪️ 台风可能影响东南沿海港口、物流和生产，需核对公司停工停运公告。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生成时间：2026-08-24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2026-08-24T00:37:59Z</dcterms:created>
  <dcterms:modified xsi:type="dcterms:W3CDTF">2026-08-24T00:37:59Z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