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1周五"/>
      <w:r>
        <w:t xml:space="preserve">🕑 全天复盘 | 2026-08-21（周五）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。指数经新浪、东方财富、腾讯三源交叉验证一致；涨跌家数与全市场成交额为同花顺单源可用。东方财富资金流、板块表现、活跃个股、涨跌停样本及核心个股交叉校验均因 HTTP 502 失败，相关榜单统一降级为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。华泰数据仅作补充单源，不替代缺失的本地结构化榜单。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：3905.2026，涨</w:t>
      </w:r>
      <w:r>
        <w:t xml:space="preserve"> </w:t>
      </w:r>
      <w:r>
        <w:rPr>
          <w:b/>
        </w:rPr>
        <w:t xml:space="preserve">0.0380%</w:t>
      </w:r>
      <w:r>
        <w:t xml:space="preserve">；盘中最高3912.1314、最低3883.7870，收盘基本持平。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：14094.168，涨</w:t>
      </w:r>
      <w:r>
        <w:t xml:space="preserve"> </w:t>
      </w:r>
      <w:r>
        <w:rPr>
          <w:b/>
        </w:rPr>
        <w:t xml:space="preserve">0.8687%</w:t>
      </w:r>
      <w:r>
        <w:t xml:space="preserve">；</w:t>
      </w:r>
      <w:r>
        <w:rPr>
          <w:b/>
        </w:rPr>
        <w:t xml:space="preserve">创业板指</w:t>
      </w:r>
      <w:r>
        <w:t xml:space="preserve">3545.577，涨</w:t>
      </w:r>
      <w:r>
        <w:t xml:space="preserve"> </w:t>
      </w:r>
      <w:r>
        <w:rPr>
          <w:b/>
        </w:rPr>
        <w:t xml:space="preserve">1.4300%</w:t>
      </w:r>
      <w:r>
        <w:t xml:space="preserve">，成长方向相对占优。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</w:t>
      </w:r>
      <w:r>
        <w:t xml:space="preserve">：1653.5551，涨</w:t>
      </w:r>
      <w:r>
        <w:t xml:space="preserve"> </w:t>
      </w:r>
      <w:r>
        <w:rPr>
          <w:b/>
        </w:rPr>
        <w:t xml:space="preserve">0.0353%</w:t>
      </w:r>
      <w:r>
        <w:t xml:space="preserve">；</w:t>
      </w:r>
      <w:r>
        <w:rPr>
          <w:b/>
        </w:rPr>
        <w:t xml:space="preserve">沪深300</w:t>
      </w:r>
      <w:r>
        <w:t xml:space="preserve">4618.8952，涨</w:t>
      </w:r>
      <w:r>
        <w:t xml:space="preserve"> </w:t>
      </w:r>
      <w:r>
        <w:rPr>
          <w:b/>
        </w:rPr>
        <w:t xml:space="preserve">0.5693%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：同花顺单源确认</w:t>
      </w:r>
      <w:r>
        <w:t xml:space="preserve"> </w:t>
      </w:r>
      <w:r>
        <w:rPr>
          <w:b/>
        </w:rPr>
        <w:t xml:space="preserve">18922.57亿元</w:t>
      </w:r>
      <w:r>
        <w:t xml:space="preserve">；接口列示昨日成交额20939.10亿元、原始变动-2016.52亿元。由于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，不引用成交额变化百分比。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🟢🔴</w:t>
      </w:r>
      <w:r>
        <w:t xml:space="preserve"> </w:t>
      </w:r>
      <w:r>
        <w:rPr>
          <w:b/>
        </w:rPr>
        <w:t xml:space="preserve">市场宽度</w:t>
      </w:r>
      <w:r>
        <w:t xml:space="preserve">：上涨</w:t>
      </w:r>
      <w:r>
        <w:t xml:space="preserve"> </w:t>
      </w:r>
      <w:r>
        <w:rPr>
          <w:b/>
        </w:rPr>
        <w:t xml:space="preserve">2505</w:t>
      </w:r>
      <w:r>
        <w:t xml:space="preserve">、下跌</w:t>
      </w:r>
      <w:r>
        <w:t xml:space="preserve"> </w:t>
      </w:r>
      <w:r>
        <w:rPr>
          <w:b/>
        </w:rPr>
        <w:t xml:space="preserve">2862</w:t>
      </w:r>
      <w:r>
        <w:t xml:space="preserve">、平盘</w:t>
      </w:r>
      <w:r>
        <w:t xml:space="preserve"> </w:t>
      </w:r>
      <w:r>
        <w:rPr>
          <w:b/>
        </w:rPr>
        <w:t xml:space="preserve">176</w:t>
      </w:r>
      <w:r>
        <w:t xml:space="preserve">、停牌</w:t>
      </w:r>
      <w:r>
        <w:t xml:space="preserve"> </w:t>
      </w:r>
      <w:r>
        <w:rPr>
          <w:b/>
        </w:rPr>
        <w:t xml:space="preserve">6</w:t>
      </w:r>
      <w:r>
        <w:t xml:space="preserve">；涨停</w:t>
      </w:r>
      <w:r>
        <w:t xml:space="preserve"> </w:t>
      </w:r>
      <w:r>
        <w:rPr>
          <w:b/>
        </w:rPr>
        <w:t xml:space="preserve">58</w:t>
      </w:r>
      <w:r>
        <w:t xml:space="preserve">、跌停</w:t>
      </w:r>
      <w:r>
        <w:t xml:space="preserve"> </w:t>
      </w:r>
      <w:r>
        <w:rPr>
          <w:b/>
        </w:rPr>
        <w:t xml:space="preserve">14</w:t>
      </w:r>
      <w:r>
        <w:t xml:space="preserve">，均为同花顺单源。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一句话特征</w:t>
      </w:r>
      <w:r>
        <w:t xml:space="preserve">：创业板领涨、午后个股情绪修复，但收盘仍是下跌家数多于上涨家数的结构性行情，金属方向成为华泰单源收盘主线。</w:t>
      </w:r>
    </w:p>
    <w:p>
      <w:pPr>
        <w:pStyle w:val="Heading3"/>
      </w:pPr>
      <w:bookmarkStart w:id="22" w:name="数据校验说明"/>
      <w:r>
        <w:t xml:space="preserve">📌 数据校验说明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指数点位和涨跌幅在新浪、东方财富、腾讯之间的比较状态均为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，不存在需要提示的显著差异。</w:t>
      </w:r>
    </w:p>
    <w:p>
      <w:pPr>
        <w:numPr>
          <w:ilvl w:val="0"/>
          <w:numId w:val="1002"/>
        </w:numPr>
        <w:pStyle w:val="Compact"/>
      </w:pPr>
      <w:r>
        <w:t xml:space="preserve">市场宽度和全市场成交额均为</w:t>
      </w:r>
      <w:r>
        <w:t xml:space="preserve"> </w:t>
      </w:r>
      <w:r>
        <w:rPr>
          <w:rStyle w:val="VerbatimChar"/>
        </w:rPr>
        <w:t xml:space="preserve">single_source</w:t>
      </w:r>
      <w:r>
        <w:t xml:space="preserve">，可以使用但需保留同花顺单源标识。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沪深300ETF净申购方向：未核验</w:t>
      </w:r>
      <w:r>
        <w:t xml:space="preserve">。采集JSON没有可用净申购数据，不能据此推断外资方向，更不能用北向资金替代。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pStyle w:val="Heading3"/>
      </w:pPr>
      <w:bookmarkStart w:id="24" w:name="指数变化"/>
      <w:r>
        <w:t xml:space="preserve">📈 指数变化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上证指数由午间</w:t>
      </w:r>
      <w:r>
        <w:t xml:space="preserve"> </w:t>
      </w:r>
      <w:r>
        <w:rPr>
          <w:b/>
        </w:rPr>
        <w:t xml:space="preserve">+0.0022%</w:t>
      </w:r>
      <w:r>
        <w:t xml:space="preserve"> </w:t>
      </w:r>
      <w:r>
        <w:t xml:space="preserve">升至收盘</w:t>
      </w:r>
      <w:r>
        <w:t xml:space="preserve"> </w:t>
      </w:r>
      <w:r>
        <w:rPr>
          <w:b/>
        </w:rPr>
        <w:t xml:space="preserve">+0.0380%</w:t>
      </w:r>
      <w:r>
        <w:t xml:space="preserve">，下午增加</w:t>
      </w:r>
      <w:r>
        <w:t xml:space="preserve"> </w:t>
      </w:r>
      <w:r>
        <w:rPr>
          <w:b/>
        </w:rPr>
        <w:t xml:space="preserve">0.0358个百分点</w:t>
      </w:r>
      <w:r>
        <w:t xml:space="preserve">，整体仍接近平盘。</w:t>
      </w:r>
    </w:p>
    <w:p>
      <w:pPr>
        <w:numPr>
          <w:ilvl w:val="0"/>
          <w:numId w:val="1003"/>
        </w:numPr>
        <w:pStyle w:val="Compact"/>
      </w:pPr>
      <w:r>
        <w:t xml:space="preserve">深证成指由</w:t>
      </w:r>
      <w:r>
        <w:t xml:space="preserve"> </w:t>
      </w:r>
      <w:r>
        <w:rPr>
          <w:b/>
        </w:rPr>
        <w:t xml:space="preserve">+0.6346%</w:t>
      </w:r>
      <w:r>
        <w:t xml:space="preserve"> </w:t>
      </w:r>
      <w:r>
        <w:t xml:space="preserve">升至</w:t>
      </w:r>
      <w:r>
        <w:t xml:space="preserve"> </w:t>
      </w:r>
      <w:r>
        <w:rPr>
          <w:b/>
        </w:rPr>
        <w:t xml:space="preserve">+0.8687%</w:t>
      </w:r>
      <w:r>
        <w:t xml:space="preserve">，下午增加</w:t>
      </w:r>
      <w:r>
        <w:t xml:space="preserve"> </w:t>
      </w:r>
      <w:r>
        <w:rPr>
          <w:b/>
        </w:rPr>
        <w:t xml:space="preserve">0.2341个百分点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创业板指由</w:t>
      </w:r>
      <w:r>
        <w:t xml:space="preserve"> </w:t>
      </w:r>
      <w:r>
        <w:rPr>
          <w:b/>
        </w:rPr>
        <w:t xml:space="preserve">+1.2128%</w:t>
      </w:r>
      <w:r>
        <w:t xml:space="preserve"> </w:t>
      </w:r>
      <w:r>
        <w:t xml:space="preserve">升至</w:t>
      </w:r>
      <w:r>
        <w:t xml:space="preserve"> </w:t>
      </w:r>
      <w:r>
        <w:rPr>
          <w:b/>
        </w:rPr>
        <w:t xml:space="preserve">+1.4300%</w:t>
      </w:r>
      <w:r>
        <w:t xml:space="preserve">，下午增加</w:t>
      </w:r>
      <w:r>
        <w:t xml:space="preserve"> </w:t>
      </w:r>
      <w:r>
        <w:rPr>
          <w:b/>
        </w:rPr>
        <w:t xml:space="preserve">0.2172个百分点</w:t>
      </w:r>
      <w:r>
        <w:t xml:space="preserve">，继续领涨。</w:t>
      </w:r>
    </w:p>
    <w:p>
      <w:pPr>
        <w:numPr>
          <w:ilvl w:val="0"/>
          <w:numId w:val="1003"/>
        </w:numPr>
        <w:pStyle w:val="Compact"/>
      </w:pPr>
      <w:r>
        <w:t xml:space="preserve">科创50由</w:t>
      </w:r>
      <w:r>
        <w:t xml:space="preserve"> </w:t>
      </w:r>
      <w:r>
        <w:rPr>
          <w:b/>
        </w:rPr>
        <w:t xml:space="preserve">+0.0737%</w:t>
      </w:r>
      <w:r>
        <w:t xml:space="preserve"> </w:t>
      </w:r>
      <w:r>
        <w:t xml:space="preserve">回落至</w:t>
      </w:r>
      <w:r>
        <w:t xml:space="preserve"> </w:t>
      </w:r>
      <w:r>
        <w:rPr>
          <w:b/>
        </w:rPr>
        <w:t xml:space="preserve">+0.0353%</w:t>
      </w:r>
      <w:r>
        <w:t xml:space="preserve">，下午减少</w:t>
      </w:r>
      <w:r>
        <w:t xml:space="preserve"> </w:t>
      </w:r>
      <w:r>
        <w:rPr>
          <w:b/>
        </w:rPr>
        <w:t xml:space="preserve">0.0384个百分点</w:t>
      </w:r>
      <w:r>
        <w:t xml:space="preserve">，科技内部承接并不一致。</w:t>
      </w:r>
    </w:p>
    <w:p>
      <w:pPr>
        <w:numPr>
          <w:ilvl w:val="0"/>
          <w:numId w:val="1003"/>
        </w:numPr>
        <w:pStyle w:val="Compact"/>
      </w:pPr>
      <w:r>
        <w:t xml:space="preserve">沪深300由</w:t>
      </w:r>
      <w:r>
        <w:t xml:space="preserve"> </w:t>
      </w:r>
      <w:r>
        <w:rPr>
          <w:b/>
        </w:rPr>
        <w:t xml:space="preserve">+0.5243%</w:t>
      </w:r>
      <w:r>
        <w:t xml:space="preserve"> </w:t>
      </w:r>
      <w:r>
        <w:t xml:space="preserve">升至</w:t>
      </w:r>
      <w:r>
        <w:t xml:space="preserve"> </w:t>
      </w:r>
      <w:r>
        <w:rPr>
          <w:b/>
        </w:rPr>
        <w:t xml:space="preserve">+0.5693%</w:t>
      </w:r>
      <w:r>
        <w:t xml:space="preserve">，下午增加</w:t>
      </w:r>
      <w:r>
        <w:t xml:space="preserve"> </w:t>
      </w:r>
      <w:r>
        <w:rPr>
          <w:b/>
        </w:rPr>
        <w:t xml:space="preserve">0.0450个百分点</w:t>
      </w:r>
      <w:r>
        <w:t xml:space="preserve">。</w:t>
      </w:r>
    </w:p>
    <w:p>
      <w:pPr>
        <w:pStyle w:val="Heading3"/>
      </w:pPr>
      <w:bookmarkStart w:id="25" w:name="赚钱效应变化"/>
      <w:r>
        <w:t xml:space="preserve">🎭 赚钱效应变化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午间上涨1833家、下跌3557家；收盘上涨2505家、下跌2862家。</w:t>
      </w:r>
    </w:p>
    <w:p>
      <w:pPr>
        <w:numPr>
          <w:ilvl w:val="0"/>
          <w:numId w:val="1004"/>
        </w:numPr>
        <w:pStyle w:val="Compact"/>
      </w:pPr>
      <w:r>
        <w:t xml:space="preserve">下午上涨家数增加</w:t>
      </w:r>
      <w:r>
        <w:t xml:space="preserve"> </w:t>
      </w:r>
      <w:r>
        <w:rPr>
          <w:b/>
        </w:rPr>
        <w:t xml:space="preserve">672家</w:t>
      </w:r>
      <w:r>
        <w:t xml:space="preserve">，下跌家数减少</w:t>
      </w:r>
      <w:r>
        <w:t xml:space="preserve"> </w:t>
      </w:r>
      <w:r>
        <w:rPr>
          <w:b/>
        </w:rPr>
        <w:t xml:space="preserve">695家</w:t>
      </w:r>
      <w:r>
        <w:t xml:space="preserve">，说明个股情绪较上午明显修复。</w:t>
      </w:r>
    </w:p>
    <w:p>
      <w:pPr>
        <w:numPr>
          <w:ilvl w:val="0"/>
          <w:numId w:val="1004"/>
        </w:numPr>
        <w:pStyle w:val="Compact"/>
      </w:pPr>
      <w:r>
        <w:t xml:space="preserve">涨停数量由47只增至58只，增加</w:t>
      </w:r>
      <w:r>
        <w:t xml:space="preserve"> </w:t>
      </w:r>
      <w:r>
        <w:rPr>
          <w:b/>
        </w:rPr>
        <w:t xml:space="preserve">11只</w:t>
      </w:r>
      <w:r>
        <w:t xml:space="preserve">；跌停数量由9只增至14只，增加</w:t>
      </w:r>
      <w:r>
        <w:t xml:space="preserve"> </w:t>
      </w:r>
      <w:r>
        <w:rPr>
          <w:b/>
        </w:rPr>
        <w:t xml:space="preserve">5只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📌 情绪修复与风险释放同时存在，不能把上涨家数改善直接定义为全面转强。</w:t>
      </w:r>
    </w:p>
    <w:p>
      <w:pPr>
        <w:pStyle w:val="Heading3"/>
      </w:pPr>
      <w:bookmarkStart w:id="26" w:name="量能与轮动"/>
      <w:r>
        <w:t xml:space="preserve">💰 量能与轮动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午间累计成交额12622.42亿元，收盘累计18922.57亿元，下午新增成交</w:t>
      </w:r>
      <w:r>
        <w:t xml:space="preserve"> </w:t>
      </w:r>
      <w:r>
        <w:rPr>
          <w:b/>
        </w:rPr>
        <w:t xml:space="preserve">6300.15亿元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上午华泰单源线索集中于贵金属、算力硬件、锂矿和局部医药；收盘华泰市场洞察进一步指向贵金属、能源金属和工业金属。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与</w:t>
      </w:r>
      <w:r>
        <w:rPr>
          <w:rStyle w:val="VerbatimChar"/>
        </w:rPr>
        <w:t xml:space="preserve">sector_performance</w:t>
      </w:r>
      <w:r>
        <w:t xml:space="preserve">均不可用，无法确认资金从哪个板块流向哪个板块，也不能核验金属与算力之间的具体轮动金额。</w:t>
      </w:r>
    </w:p>
    <w:p>
      <w:pPr>
        <w:numPr>
          <w:ilvl w:val="0"/>
          <w:numId w:val="1005"/>
        </w:numPr>
        <w:pStyle w:val="Compact"/>
      </w:pPr>
      <w:r>
        <w:t xml:space="preserve">🎯 午盘</w:t>
      </w:r>
      <w:r>
        <w:t xml:space="preserve">“</w:t>
      </w:r>
      <w:r>
        <w:t xml:space="preserve">贵金属可跟踪、算力需验证、医药只观察</w:t>
      </w:r>
      <w:r>
        <w:t xml:space="preserve">”</w:t>
      </w:r>
      <w:r>
        <w:t xml:space="preserve">的判断部分成立；贵金属获得收盘文本延续，算力缺少收盘资金确认，医药继续呈现明显分化。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领涨板块-top10-与龙头股"/>
      <w:r>
        <w:t xml:space="preserve">🔥 领涨板块 TOP10 与龙头股</w:t>
      </w:r>
      <w:bookmarkEnd w:id="27"/>
    </w:p>
    <w:p>
      <w:pPr>
        <w:pStyle w:val="Heading3"/>
      </w:pPr>
      <w:bookmarkStart w:id="28" w:name="结构化领涨板块top10"/>
      <w:r>
        <w:t xml:space="preserve">⚠️ 结构化领涨板块TOP10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未核验（采集JSON可用条目0/10）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sector_performance.ok=false</w:t>
      </w:r>
      <w:r>
        <w:t xml:space="preserve">，无法提供真实的板块涨幅TOP10、板块成交额或完整龙头排名。</w:t>
      </w:r>
    </w:p>
    <w:p>
      <w:pPr>
        <w:numPr>
          <w:ilvl w:val="0"/>
          <w:numId w:val="1006"/>
        </w:numPr>
        <w:pStyle w:val="Compact"/>
      </w:pPr>
      <w:r>
        <w:t xml:space="preserve">华泰市场洞察属于补充文本，不能改写成东方财富结构化板块排行榜。</w:t>
      </w:r>
    </w:p>
    <w:p>
      <w:pPr>
        <w:pStyle w:val="Heading3"/>
      </w:pPr>
      <w:bookmarkStart w:id="29" w:name="华泰单源收盘主线"/>
      <w:r>
        <w:t xml:space="preserve">🟡 华泰单源收盘主线</w:t>
      </w:r>
      <w:bookmarkEnd w:id="29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能源金属</w:t>
      </w:r>
      <w:r>
        <w:t xml:space="preserve">：华泰文本给出的板块涨跌幅为</w:t>
      </w:r>
      <w:r>
        <w:t xml:space="preserve"> </w:t>
      </w:r>
      <w:r>
        <w:rPr>
          <w:b/>
        </w:rPr>
        <w:t xml:space="preserve">+5.10%</w:t>
      </w:r>
      <w:r>
        <w:t xml:space="preserve">，点名融捷股份、盛新锂能、永杉锂业等活跃；其中融捷股份被描述为涨停。板块成交额及资金净流入未获本地结构化校验。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贵金属</w:t>
      </w:r>
      <w:r>
        <w:t xml:space="preserve">：华泰文本给出的板块涨跌幅为</w:t>
      </w:r>
      <w:r>
        <w:t xml:space="preserve"> </w:t>
      </w:r>
      <w:r>
        <w:rPr>
          <w:b/>
        </w:rPr>
        <w:t xml:space="preserve">+5.07%</w:t>
      </w:r>
      <w:r>
        <w:t xml:space="preserve">，点名湖南白银、赤峰黄金、晓程科技等；湖南白银午间华泰筛选数据为10.42元、+10.03%、个股净流入9.44亿元，但这不是收盘三源行情。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工业金属</w:t>
      </w:r>
      <w:r>
        <w:t xml:space="preserve">：华泰文本称板块涨幅扩大，并点名盛大资源、豪美新材等涨停；板块精确涨幅、成交额和资金榜均未核验。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算力硬件—CPO/液冷</w:t>
      </w:r>
      <w:r>
        <w:t xml:space="preserve">：午间华泰文本点名瑞斯康达、星网锐捷、可川科技、飞龙股份、金富科技等活跃；收盘缺少结构化延续性数据，只能保留为明日观察线索。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医药局部强势股</w:t>
      </w:r>
      <w:r>
        <w:t xml:space="preserve">：午间华泰筛选确认康希诺77.32元、+20.01%、贝瑞基因10.31元、+10.03%；收盘华泰文本同时提示创新药资金兑现，说明医药内部强弱分化，不能按一致主线处理。</w:t>
      </w:r>
    </w:p>
    <w:p>
      <w:pPr>
        <w:pStyle w:val="Heading3"/>
      </w:pPr>
      <w:bookmarkStart w:id="30" w:name="龙头股top20数据边界"/>
      <w:r>
        <w:t xml:space="preserve">🔥 龙头股TOP20数据边界</w:t>
      </w:r>
      <w:bookmarkEnd w:id="30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结构化龙头股TOP20：未核验（可用条目0/20）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全部失败，无法确认收盘价、成交额、换手率、涨停封板状态及多源一致性。</w:t>
      </w:r>
    </w:p>
    <w:p>
      <w:pPr>
        <w:numPr>
          <w:ilvl w:val="0"/>
          <w:numId w:val="1008"/>
        </w:numPr>
        <w:pStyle w:val="Compact"/>
      </w:pPr>
      <w:r>
        <w:t xml:space="preserve">🚫 上述华泰点名股票只能作为单源观察池，不得被解释为完整TOP20榜单或确定性交易推荐。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资金流向-top10"/>
      <w:r>
        <w:t xml:space="preserve">💰 资金流向 TOP10</w:t>
      </w:r>
      <w:bookmarkEnd w:id="31"/>
    </w:p>
    <w:p>
      <w:pPr>
        <w:pStyle w:val="Heading3"/>
      </w:pPr>
      <w:bookmarkStart w:id="32" w:name="主力资金流入top10"/>
      <w:r>
        <w:t xml:space="preserve">💰 主力资金流入TOP10</w:t>
      </w:r>
      <w:bookmarkEnd w:id="32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未核验（采集JSON可用条目0/10，金额不可得）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东方财富资金流接口返回HTTP 502；不能用板块涨幅、华泰文字分析或华泰选股候选反推全市场资金流入排名。</w:t>
      </w:r>
    </w:p>
    <w:p>
      <w:pPr>
        <w:numPr>
          <w:ilvl w:val="0"/>
          <w:numId w:val="1009"/>
        </w:numPr>
        <w:pStyle w:val="Compact"/>
      </w:pPr>
      <w:r>
        <w:t xml:space="preserve">华泰收盘筛选给出佳力奇、健尔康、重百集团三只资金与筹码候选，但未提供可用于全市场TOP10榜单的统一净流入金额与排名口径。</w:t>
      </w:r>
    </w:p>
    <w:p>
      <w:pPr>
        <w:pStyle w:val="Heading3"/>
      </w:pPr>
      <w:bookmarkStart w:id="33" w:name="主力资金流出top10"/>
      <w:r>
        <w:t xml:space="preserve">⚠️ 主力资金流出TOP10</w:t>
      </w:r>
      <w:bookmarkEnd w:id="33"/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未核验（采集JSON可用条目0/10，金额不可得）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接口失败不代表市场没有资金流出，也不能依据个股下跌反推具体流出金额。</w:t>
      </w:r>
    </w:p>
    <w:p>
      <w:pPr>
        <w:numPr>
          <w:ilvl w:val="0"/>
          <w:numId w:val="1010"/>
        </w:numPr>
        <w:pStyle w:val="Compact"/>
      </w:pPr>
      <w:r>
        <w:t xml:space="preserve">华泰收盘文本称创新药板块净流出超过40亿元、恒瑞医药净流出5.01亿元；该信息属于华泰单源文本，未进入本地结构化资金榜，不能替代TOP10。</w:t>
      </w:r>
    </w:p>
    <w:p>
      <w:pPr>
        <w:pStyle w:val="Heading3"/>
      </w:pPr>
      <w:bookmarkStart w:id="34" w:name="资金使用红线"/>
      <w:r>
        <w:t xml:space="preserve">🚫 资金使用红线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本轮无法形成</w:t>
      </w:r>
      <w:r>
        <w:t xml:space="preserve">“</w:t>
      </w:r>
      <w:r>
        <w:t xml:space="preserve">板块涨幅—主力资金—板块成交额—涨停扩散</w:t>
      </w:r>
      <w:r>
        <w:t xml:space="preserve">”</w:t>
      </w:r>
      <w:r>
        <w:t xml:space="preserve">的完整证据链。</w:t>
      </w:r>
    </w:p>
    <w:p>
      <w:pPr>
        <w:numPr>
          <w:ilvl w:val="0"/>
          <w:numId w:val="1011"/>
        </w:numPr>
        <w:pStyle w:val="Compact"/>
      </w:pPr>
      <w:r>
        <w:t xml:space="preserve">所有明日方向均采用条件式策略；资金榜恢复并确认净流入，是提高仓位和方向优先级的必要条件。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领跌板块-top5-与资金流出预警"/>
      <w:r>
        <w:t xml:space="preserve">🔴 领跌板块 TOP5 与资金流出预警</w:t>
      </w:r>
      <w:bookmarkEnd w:id="35"/>
    </w:p>
    <w:p>
      <w:pPr>
        <w:pStyle w:val="Heading3"/>
      </w:pPr>
      <w:bookmarkStart w:id="36" w:name="结构化领跌板块top5"/>
      <w:r>
        <w:t xml:space="preserve">📉 结构化领跌板块TOP5</w:t>
      </w:r>
      <w:bookmarkEnd w:id="36"/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未核验（采集JSON可用条目0/5）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rPr>
          <w:rStyle w:val="VerbatimChar"/>
        </w:rPr>
        <w:t xml:space="preserve">sector_performance.ok=false</w:t>
      </w:r>
      <w:r>
        <w:t xml:space="preserve">，不得自行补写板块跌幅或领跌排名。</w:t>
      </w:r>
    </w:p>
    <w:p>
      <w:pPr>
        <w:pStyle w:val="Heading3"/>
      </w:pPr>
      <w:bookmarkStart w:id="37" w:name="华泰单源风险线索"/>
      <w:r>
        <w:t xml:space="preserve">⚠️ 华泰单源风险线索</w:t>
      </w:r>
      <w:bookmarkEnd w:id="37"/>
    </w:p>
    <w:p>
      <w:pPr>
        <w:numPr>
          <w:ilvl w:val="0"/>
          <w:numId w:val="1013"/>
        </w:numPr>
        <w:pStyle w:val="Compact"/>
      </w:pPr>
      <w:r>
        <w:t xml:space="preserve">💊</w:t>
      </w:r>
      <w:r>
        <w:t xml:space="preserve"> </w:t>
      </w:r>
      <w:r>
        <w:rPr>
          <w:b/>
        </w:rPr>
        <w:t xml:space="preserve">创新药/医疗服务</w:t>
      </w:r>
      <w:r>
        <w:t xml:space="preserve">：午间已有哈三联及部分医疗服务走弱线索，收盘华泰文本继续提示创新药资金兑现；更符合高位分化和短线获利盘退出。</w:t>
      </w:r>
    </w:p>
    <w:p>
      <w:pPr>
        <w:numPr>
          <w:ilvl w:val="0"/>
          <w:numId w:val="1013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农业种植</w:t>
      </w:r>
      <w:r>
        <w:t xml:space="preserve">：午间华泰文本点名神农种业、秋乐种业等显著调整，收盘没有获得结构化止跌确认，暂不具备抄底依据。</w:t>
      </w:r>
    </w:p>
    <w:p>
      <w:pPr>
        <w:numPr>
          <w:ilvl w:val="0"/>
          <w:numId w:val="1013"/>
        </w:numPr>
        <w:pStyle w:val="Compact"/>
      </w:pPr>
      <w:r>
        <w:t xml:space="preserve">☀️</w:t>
      </w:r>
      <w:r>
        <w:t xml:space="preserve"> </w:t>
      </w:r>
      <w:r>
        <w:rPr>
          <w:b/>
        </w:rPr>
        <w:t xml:space="preserve">光伏制造</w:t>
      </w:r>
      <w:r>
        <w:t xml:space="preserve">：午间出现高开回落线索，弘元绿能收盘仅涨0.36%；光伏未与收盘金属主线形成明显共振。</w:t>
      </w:r>
    </w:p>
    <w:p>
      <w:pPr>
        <w:numPr>
          <w:ilvl w:val="0"/>
          <w:numId w:val="1013"/>
        </w:numPr>
        <w:pStyle w:val="Compact"/>
      </w:pPr>
      <w:r>
        <w:t xml:space="preserve">🎨</w:t>
      </w:r>
      <w:r>
        <w:t xml:space="preserve"> </w:t>
      </w:r>
      <w:r>
        <w:rPr>
          <w:b/>
        </w:rPr>
        <w:t xml:space="preserve">AI应用/数字展陈</w:t>
      </w:r>
      <w:r>
        <w:t xml:space="preserve">：风语筑收盘下跌1.74%，弱于创业板指数，说明AI应用与算力硬件存在明显分化。</w:t>
      </w:r>
    </w:p>
    <w:p>
      <w:pPr>
        <w:numPr>
          <w:ilvl w:val="0"/>
          <w:numId w:val="1013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银行防御</w:t>
      </w:r>
      <w:r>
        <w:t xml:space="preserve">：工商银行收盘下跌0.13%，下午由午间红盘转为小幅下跌，银行仅体现低波动特征，并未成为进攻主线。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华泰自选股观察"/>
      <w:r>
        <w:t xml:space="preserve">🧾 华泰自选股观察</w:t>
      </w:r>
      <w:bookmarkEnd w:id="38"/>
    </w:p>
    <w:p>
      <w:pPr>
        <w:pStyle w:val="FirstParagraph"/>
      </w:pPr>
      <w:r>
        <w:t xml:space="preserve">三只自选股收盘呈现</w:t>
      </w:r>
      <w:r>
        <w:t xml:space="preserve">“</w:t>
      </w:r>
      <w:r>
        <w:t xml:space="preserve">弘元绿能微涨、风语筑偏弱、工商银行低波震荡</w:t>
      </w:r>
      <w:r>
        <w:t xml:space="preserve">”</w:t>
      </w:r>
      <w:r>
        <w:t xml:space="preserve">。三者均未与贵金属、能源金属和工业金属收盘主线形成直接共振，整体应当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：收盘最新价</w:t>
      </w:r>
      <w:r>
        <w:t xml:space="preserve"> </w:t>
      </w:r>
      <w:r>
        <w:rPr>
          <w:b/>
        </w:rPr>
        <w:t xml:space="preserve">16.83元</w:t>
      </w:r>
      <w:r>
        <w:t xml:space="preserve">，涨</w:t>
      </w:r>
      <w:r>
        <w:t xml:space="preserve"> </w:t>
      </w:r>
      <w:r>
        <w:rPr>
          <w:b/>
        </w:rPr>
        <w:t xml:space="preserve">0.36%</w:t>
      </w:r>
      <w:r>
        <w:t xml:space="preserve">，前收16.77元。所属光伏制造/硅片产业链；午间16.89元、+0.72%，下午回吐部分涨幅，光伏资金与板块成交仍未核验。判断：</w:t>
      </w:r>
      <w:r>
        <w:rPr>
          <w:b/>
        </w:rPr>
        <w:t xml:space="preserve">继续观察、可低吸跟踪但不追高</w:t>
      </w:r>
      <w:r>
        <w:t xml:space="preserve">；只有守住16.77元并获得光伏板块资金回流确认，才提高关注级别。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：收盘最新价</w:t>
      </w:r>
      <w:r>
        <w:t xml:space="preserve"> </w:t>
      </w:r>
      <w:r>
        <w:rPr>
          <w:b/>
        </w:rPr>
        <w:t xml:space="preserve">11.31元</w:t>
      </w:r>
      <w:r>
        <w:t xml:space="preserve">，跌</w:t>
      </w:r>
      <w:r>
        <w:t xml:space="preserve"> </w:t>
      </w:r>
      <w:r>
        <w:rPr>
          <w:b/>
        </w:rPr>
        <w:t xml:space="preserve">1.74%</w:t>
      </w:r>
      <w:r>
        <w:t xml:space="preserve">，前收11.51元。所属数字展陈、文化科技和AI应用方向，与收盘金属主线无共振；虽较午间11.26元有所回升，但仍未收复前收。判断：</w:t>
      </w:r>
      <w:r>
        <w:rPr>
          <w:b/>
        </w:rPr>
        <w:t xml:space="preserve">偏弱，以跟踪为主、暂不作为主攻方向</w:t>
      </w:r>
      <w:r>
        <w:t xml:space="preserve">；收复11.51元并出现板块量价共振前不追、不加仓。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：收盘最新价</w:t>
      </w:r>
      <w:r>
        <w:t xml:space="preserve"> </w:t>
      </w:r>
      <w:r>
        <w:rPr>
          <w:b/>
        </w:rPr>
        <w:t xml:space="preserve">7.77元</w:t>
      </w:r>
      <w:r>
        <w:t xml:space="preserve">，跌</w:t>
      </w:r>
      <w:r>
        <w:t xml:space="preserve"> </w:t>
      </w:r>
      <w:r>
        <w:rPr>
          <w:b/>
        </w:rPr>
        <w:t xml:space="preserve">0.13%</w:t>
      </w:r>
      <w:r>
        <w:t xml:space="preserve">，前收7.78元。所属银行/高股息防御方向，与沪深300上涨0.5693%的权重环境存在一定联系，但下午由午间7.79元回落至7.77元。判断：</w:t>
      </w:r>
      <w:r>
        <w:rPr>
          <w:b/>
        </w:rPr>
        <w:t xml:space="preserve">继续观察、持有优先于追高</w:t>
      </w:r>
      <w:r>
        <w:t xml:space="preserve">；重新站稳7.78元且银行相对沪深300转强后，才考虑低吸跟踪。</w:t>
      </w:r>
    </w:p>
    <w:p>
      <w:pPr>
        <w:pStyle w:val="FirstParagraph"/>
      </w:pPr>
      <w:r>
        <w:t xml:space="preserve">⚠️ 三只行情来自华泰</w:t>
      </w:r>
      <w:r>
        <w:t xml:space="preserve"> </w:t>
      </w:r>
      <w:r>
        <w:rPr>
          <w:rStyle w:val="VerbatimChar"/>
        </w:rPr>
        <w:t xml:space="preserve">paper_trading_quotes</w:t>
      </w:r>
      <w:r>
        <w:t xml:space="preserve"> </w:t>
      </w:r>
      <w:r>
        <w:t xml:space="preserve">单源；</w:t>
      </w:r>
      <w:r>
        <w:rPr>
          <w:rStyle w:val="VerbatimChar"/>
        </w:rPr>
        <w:t xml:space="preserve">stock_quote_cross_checks</w:t>
      </w:r>
      <w:r>
        <w:t xml:space="preserve">因HTTP 502失败，尚未完成新浪、东方财富、腾讯个股行情交叉校验。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用户实盘持仓收盘提示"/>
      <w:r>
        <w:t xml:space="preserve">💼 用户实盘持仓收盘提示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：按16.83元计，账面</w:t>
      </w:r>
      <w:r>
        <w:t xml:space="preserve"> </w:t>
      </w:r>
      <w:r>
        <w:rPr>
          <w:b/>
        </w:rPr>
        <w:t xml:space="preserve">-36.89%</w:t>
      </w:r>
      <w:r>
        <w:t xml:space="preserve">、浮亏</w:t>
      </w:r>
      <w:r>
        <w:t xml:space="preserve"> </w:t>
      </w:r>
      <w:r>
        <w:rPr>
          <w:b/>
        </w:rPr>
        <w:t xml:space="preserve">2951.07元</w:t>
      </w:r>
      <w:r>
        <w:t xml:space="preserve">。💡 继续执行</w:t>
      </w:r>
      <w:r>
        <w:t xml:space="preserve">“</w:t>
      </w:r>
      <w:r>
        <w:t xml:space="preserve">减仓观察、不无条件补仓</w:t>
      </w:r>
      <w:r>
        <w:t xml:space="preserve">”</w:t>
      </w:r>
      <w:r>
        <w:t xml:space="preserve">；跌破16.77元后不能快速收回时控制仓位，只有光伏资金回流且个股放量走强才评估小仓跟踪。</w:t>
      </w:r>
    </w:p>
    <w:p>
      <w:pPr>
        <w:numPr>
          <w:ilvl w:val="0"/>
          <w:numId w:val="101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：按11.31元计，账面</w:t>
      </w:r>
      <w:r>
        <w:t xml:space="preserve"> </w:t>
      </w:r>
      <w:r>
        <w:rPr>
          <w:b/>
        </w:rPr>
        <w:t xml:space="preserve">-14.42%</w:t>
      </w:r>
      <w:r>
        <w:t xml:space="preserve">、浮亏</w:t>
      </w:r>
      <w:r>
        <w:t xml:space="preserve"> </w:t>
      </w:r>
      <w:r>
        <w:rPr>
          <w:b/>
        </w:rPr>
        <w:t xml:space="preserve">1334.13元</w:t>
      </w:r>
      <w:r>
        <w:t xml:space="preserve">。💡 仍是组合内优先减仓观察标的；未收复11.51元前不加仓，反弹无量或再次转弱时继续降低风险敞口。</w:t>
      </w:r>
    </w:p>
    <w:p>
      <w:pPr>
        <w:numPr>
          <w:ilvl w:val="0"/>
          <w:numId w:val="101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：按7.77元计，账面</w:t>
      </w:r>
      <w:r>
        <w:t xml:space="preserve"> </w:t>
      </w:r>
      <w:r>
        <w:rPr>
          <w:b/>
        </w:rPr>
        <w:t xml:space="preserve">+10.06%</w:t>
      </w:r>
      <w:r>
        <w:t xml:space="preserve">、浮盈</w:t>
      </w:r>
      <w:r>
        <w:t xml:space="preserve"> </w:t>
      </w:r>
      <w:r>
        <w:rPr>
          <w:b/>
        </w:rPr>
        <w:t xml:space="preserve">1348.81元</w:t>
      </w:r>
      <w:r>
        <w:t xml:space="preserve">。💡 持有并保护浮盈；重新站稳7.78元可继续观察，若银行板块同步转弱且价格持续低于7.78元，可分批锁定利润。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：本次收盘采集没有农业银行可核行情，最新价、即时盈亏和支撑阻力均为</w:t>
      </w:r>
      <w:r>
        <w:rPr>
          <w:b/>
        </w:rPr>
        <w:t xml:space="preserve">未核验</w:t>
      </w:r>
      <w:r>
        <w:t xml:space="preserve">。💡 不沿用盘前6.81元报价冒充收盘价格；取得实时行情前维持条件式持有，不新增仓位。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市场情绪综合判断"/>
      <w:r>
        <w:t xml:space="preserve">🎭 市场情绪综合判断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赚钱效应：中性偏弱但午后修复</w:t>
      </w:r>
      <w:r>
        <w:t xml:space="preserve">。上涨2505家、下跌2862家，较午间明显改善，但仍未形成上涨家数占优。</w:t>
      </w:r>
    </w:p>
    <w:p>
      <w:pPr>
        <w:numPr>
          <w:ilvl w:val="0"/>
          <w:numId w:val="1016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短线活跃度：正常</w:t>
      </w:r>
      <w:r>
        <w:t xml:space="preserve">。58只涨停显示热点仍有扩散能力；14只跌停说明高位与弱势方向风险没有完全释放。</w:t>
      </w:r>
    </w:p>
    <w:p>
      <w:pPr>
        <w:numPr>
          <w:ilvl w:val="0"/>
          <w:numId w:val="101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市场风格：震荡/均衡，成长相对占优</w:t>
      </w:r>
      <w:r>
        <w:t xml:space="preserve">。创业板上涨1.4300%，显著强于上证指数0.0380%；科创50仅涨0.0353%，说明成长内部并非全面走强。</w:t>
      </w:r>
    </w:p>
    <w:p>
      <w:pPr>
        <w:numPr>
          <w:ilvl w:val="0"/>
          <w:numId w:val="1016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量能状态：成交活跃但比较结论未核验</w:t>
      </w:r>
      <w:r>
        <w:t xml:space="preserve">。全市场成交额18922.57亿元可以确认，变化百分比不可使用。</w:t>
      </w:r>
    </w:p>
    <w:p>
      <w:pPr>
        <w:numPr>
          <w:ilvl w:val="0"/>
          <w:numId w:val="1016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情绪周期：正常偏分化</w:t>
      </w:r>
      <w:r>
        <w:t xml:space="preserve">。午后从弱分化向修复推进，但金属主线、成长指数和个股广度没有形成全面共振，尚未达到过热阶段。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核心矛盾</w:t>
      </w:r>
      <w:r>
        <w:t xml:space="preserve">：指数上涨与个股涨跌比仍有落差，且关键资金榜缺失，追涨容错率有限。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明日展望与操作策略"/>
      <w:r>
        <w:t xml:space="preserve">🎯 明日展望与操作策略</w:t>
      </w:r>
      <w:bookmarkEnd w:id="41"/>
    </w:p>
    <w:p>
      <w:pPr>
        <w:pStyle w:val="Heading3"/>
      </w:pPr>
      <w:bookmarkStart w:id="42" w:name="明日观察重点"/>
      <w:r>
        <w:t xml:space="preserve">🔭 明日观察重点</w:t>
      </w:r>
      <w:bookmarkEnd w:id="42"/>
    </w:p>
    <w:p>
      <w:pPr>
        <w:numPr>
          <w:ilvl w:val="0"/>
          <w:numId w:val="1017"/>
        </w:numPr>
        <w:pStyle w:val="Compact"/>
      </w:pPr>
      <w:r>
        <w:t xml:space="preserve">🟡</w:t>
      </w:r>
      <w:r>
        <w:t xml:space="preserve"> </w:t>
      </w:r>
      <w:r>
        <w:rPr>
          <w:b/>
        </w:rPr>
        <w:t xml:space="preserve">金属主线延续性</w:t>
      </w:r>
      <w:r>
        <w:t xml:space="preserve">：观察贵金属、能源金属、工业金属能否继续获得成交扩散，前排是否出现高开低走或集中兑现。</w:t>
      </w:r>
    </w:p>
    <w:p>
      <w:pPr>
        <w:numPr>
          <w:ilvl w:val="0"/>
          <w:numId w:val="1017"/>
        </w:numPr>
        <w:pStyle w:val="Compact"/>
      </w:pPr>
      <w:r>
        <w:t xml:space="preserve">🤖</w:t>
      </w:r>
      <w:r>
        <w:t xml:space="preserve"> </w:t>
      </w:r>
      <w:r>
        <w:rPr>
          <w:b/>
        </w:rPr>
        <w:t xml:space="preserve">成长方向承接</w:t>
      </w:r>
      <w:r>
        <w:t xml:space="preserve">：创业板能否继续强于上证指数，科创50能否摆脱接近平盘状态；算力硬件若只有个股脉冲、不见板块资金，不提高仓位。</w:t>
      </w:r>
    </w:p>
    <w:p>
      <w:pPr>
        <w:numPr>
          <w:ilvl w:val="0"/>
          <w:numId w:val="1017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资金榜恢复情况</w:t>
      </w:r>
      <w:r>
        <w:t xml:space="preserve">：资金流入TOP10、流出TOP10恢复后，应优先验证金属、算力和医药的真实资金方向。</w:t>
      </w:r>
    </w:p>
    <w:p>
      <w:pPr>
        <w:numPr>
          <w:ilvl w:val="0"/>
          <w:numId w:val="101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市场宽度</w:t>
      </w:r>
      <w:r>
        <w:t xml:space="preserve">：上涨家数能否超过下跌家数，并与指数上涨形成一致共振。</w:t>
      </w:r>
    </w:p>
    <w:p>
      <w:pPr>
        <w:numPr>
          <w:ilvl w:val="0"/>
          <w:numId w:val="1017"/>
        </w:numPr>
        <w:pStyle w:val="Compact"/>
      </w:pPr>
      <w:r>
        <w:t xml:space="preserve">🌐</w:t>
      </w:r>
      <w:r>
        <w:t xml:space="preserve"> </w:t>
      </w:r>
      <w:r>
        <w:rPr>
          <w:b/>
        </w:rPr>
        <w:t xml:space="preserve">外部风险</w:t>
      </w:r>
      <w:r>
        <w:t xml:space="preserve">：关注商品价格和海外利率预期波动；本轮没有新增、已核验的明日经济日历数据，不提前编写具体事件数值。</w:t>
      </w:r>
    </w:p>
    <w:p>
      <w:pPr>
        <w:pStyle w:val="Heading3"/>
      </w:pPr>
      <w:bookmarkStart w:id="43" w:name="仓位建议"/>
      <w:r>
        <w:t xml:space="preserve">💡 仓位建议</w:t>
      </w:r>
      <w:bookmarkEnd w:id="43"/>
    </w:p>
    <w:p>
      <w:pPr>
        <w:numPr>
          <w:ilvl w:val="0"/>
          <w:numId w:val="1018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激进型：60%上限</w:t>
      </w:r>
      <w:r>
        <w:t xml:space="preserve">。只围绕金属前排的分歧承接或算力硬件的放量确认参与，禁止在板块加速阶段满仓追高。</w:t>
      </w:r>
    </w:p>
    <w:p>
      <w:pPr>
        <w:numPr>
          <w:ilvl w:val="0"/>
          <w:numId w:val="1018"/>
        </w:numPr>
        <w:pStyle w:val="Compact"/>
      </w:pPr>
      <w:r>
        <w:t xml:space="preserve">⚖️</w:t>
      </w:r>
      <w:r>
        <w:t xml:space="preserve"> </w:t>
      </w:r>
      <w:r>
        <w:rPr>
          <w:b/>
        </w:rPr>
        <w:t xml:space="preserve">均衡型：45%</w:t>
      </w:r>
      <w:r>
        <w:t xml:space="preserve">。保留强于指数的仓位，等待资金流和板块榜恢复后再增加进攻仓。</w:t>
      </w:r>
    </w:p>
    <w:p>
      <w:pPr>
        <w:numPr>
          <w:ilvl w:val="0"/>
          <w:numId w:val="1018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保守型：30%</w:t>
      </w:r>
      <w:r>
        <w:t xml:space="preserve">。银行高股息可作为防御底仓，其余保持现金，避免参与缺少成交与资金验证的后排题材。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优先回避</w:t>
      </w:r>
      <w:r>
        <w:t xml:space="preserve">：创新药高位兑现后排、农业种植弱势股、不能收复前收的风语筑，以及冲高回落且没有资金承接的光伏标的。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明日投资方向排序"/>
      <w:r>
        <w:t xml:space="preserve">🎯 明日投资方向排序</w:t>
      </w:r>
      <w:bookmarkEnd w:id="44"/>
    </w:p>
    <w:p>
      <w:pPr>
        <w:pStyle w:val="Heading3"/>
      </w:pPr>
      <w:bookmarkStart w:id="45" w:name="方向一贵金属黄金白银优先级高"/>
      <w:r>
        <w:t xml:space="preserve">🟡 方向一：贵金属—黄金/白银（优先级：高）</w:t>
      </w:r>
      <w:bookmarkEnd w:id="45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：华泰单源显示贵金属板块涨5.07%；湖南白银午间10.42元、+10.03%、个股净流入9.44亿元；收盘市场上涨2505家、涨停58只，午后风险偏好有所修复。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：湖南白银（午间涨停及个股资金线索）、赤峰黄金（华泰收盘活跃线索）、晓程科技（贵金属方向活跃线索）。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：激进者观察前排分歧后的承接；稳健者等待板块回踩和资金榜确认；保守者不追涨停附近标的。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：板块继续放量、湖南白银等前排不出现集中炸板，且恢复后的结构化资金榜显示净流入。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：前排高开低走、板块主力转为净流出、商品价格走弱或后排停止扩散。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：短线涨幅较大、避险逻辑降温、商品价格波动及华泰单源偏差。</w:t>
      </w:r>
    </w:p>
    <w:p>
      <w:pPr>
        <w:pStyle w:val="Heading3"/>
      </w:pPr>
      <w:bookmarkStart w:id="46" w:name="方向二能源金属锂矿锂盐优先级高"/>
      <w:r>
        <w:t xml:space="preserve">🔋 方向二：能源金属—锂矿/锂盐（优先级：高）</w:t>
      </w:r>
      <w:bookmarkEnd w:id="46"/>
    </w:p>
    <w:p>
      <w:pPr>
        <w:numPr>
          <w:ilvl w:val="0"/>
          <w:numId w:val="102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：华泰单源显示能源金属板块涨5.10%；点名融捷股份涨停，盛新锂能、永杉锂业等走强；创业板收涨1.4300%，成长风险偏好相对占优。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：融捷股份（涨停辨识度线索）、盛新锂能（锂盐弹性线索）、永杉锂业（板块扩散线索）。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：激进者只做前排换手承接；稳健者等待板块资金与成交额确认；保守者等待首次分歧结束。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：锂矿前排维持强势、板块成交扩散、结构化资金净流入为正且创业板不转弱。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：融捷股份开板后不能修复、板块冲高回落、资金转流出或创业板明显走弱。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：商品价格反转、供给预期变化、高位兑现和板块资金数据缺失。</w:t>
      </w:r>
    </w:p>
    <w:p>
      <w:pPr>
        <w:pStyle w:val="Heading3"/>
      </w:pPr>
      <w:bookmarkStart w:id="47" w:name="方向三ai算力cpo液冷服务器优先级中"/>
      <w:r>
        <w:t xml:space="preserve">🤖 方向三：AI算力—CPO/液冷服务器（优先级：中）</w:t>
      </w:r>
      <w:bookmarkEnd w:id="47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：午间华泰文本确认CPO和液冷服务器活跃；创业板收涨1.4300%；盘前央视结构化信息确认人工智能带动光纤、存储芯片和传感器产量增长。收盘板块资金与龙头行情未核验。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：瑞斯康达、星网锐捷、可川科技、飞龙股份、金富科技，均来自华泰午间单源活跃线索。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：激进者等待前排回踩承接；稳健者等科创50转强并确认板块净流入；保守者继续观察。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：科创50明显强于上证指数、算力板块获得结构化资金净流入、核心股成交扩散且不批量冲高回落。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：科创50转跌、核心股批量走弱、板块主力净流出或仅剩单一个股脉冲。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：高估值、海外科技波动、业绩兑现不足及收盘行情未完成交叉验证。</w:t>
      </w:r>
    </w:p>
    <w:p>
      <w:pPr>
        <w:pStyle w:val="Heading3"/>
      </w:pPr>
      <w:bookmarkStart w:id="48" w:name="方向四创新药疫苗优先级观察"/>
      <w:r>
        <w:t xml:space="preserve">💊 方向四：创新药/疫苗（优先级：观察）</w:t>
      </w:r>
      <w:bookmarkEnd w:id="48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：午间康希诺77.32元、+20.01%、贝瑞基因10.31元、+10.03%；但华泰收盘文本提示创新药资金兑现，市场呈现强势个股与弱势板块并存。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：康希诺、贝瑞基因、汉森制药；只作为高辨识度观察样本，不视为板块全面转强证据。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：激进者也只观察首次分歧承接；稳健和保守资金暂不参与高位加速。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：创新药资金重新转为净流入、前排不集中炸板、低位品种出现成交扩散。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：高位股集中补跌、资金继续流出、创业板转弱或前排跌破关键承接。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：高位兑现、临床与业绩预期变化、板块内部轮动过快。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明日风险清单"/>
      <w:r>
        <w:t xml:space="preserve">⚠️ 明日风险清单</w:t>
      </w:r>
      <w:bookmarkEnd w:id="49"/>
    </w:p>
    <w:p>
      <w:pPr>
        <w:numPr>
          <w:ilvl w:val="0"/>
          <w:numId w:val="1023"/>
        </w:numPr>
        <w:pStyle w:val="Compact"/>
      </w:pPr>
      <w:r>
        <w:t xml:space="preserve">💰 资金流入TOP10和流出TOP10均无可用结构化条目，主线判断缺少关键资金证据。</w:t>
      </w:r>
    </w:p>
    <w:p>
      <w:pPr>
        <w:numPr>
          <w:ilvl w:val="0"/>
          <w:numId w:val="1023"/>
        </w:numPr>
        <w:pStyle w:val="Compact"/>
      </w:pPr>
      <w:r>
        <w:t xml:space="preserve">📉 收盘仍有2862只下跌、14只跌停，情绪修复尚未转化为全面赚钱效应。</w:t>
      </w:r>
    </w:p>
    <w:p>
      <w:pPr>
        <w:numPr>
          <w:ilvl w:val="0"/>
          <w:numId w:val="1023"/>
        </w:numPr>
        <w:pStyle w:val="Compact"/>
      </w:pPr>
      <w:r>
        <w:t xml:space="preserve">🟡 金属方向单日涨幅突出，次日存在高开兑现与前排分歧风险。</w:t>
      </w:r>
    </w:p>
    <w:p>
      <w:pPr>
        <w:numPr>
          <w:ilvl w:val="0"/>
          <w:numId w:val="1023"/>
        </w:numPr>
        <w:pStyle w:val="Compact"/>
      </w:pPr>
      <w:r>
        <w:t xml:space="preserve">🤖 创业板强于科创50，成长内部依然分化，不能把指数上涨等同科技全面走强。</w:t>
      </w:r>
    </w:p>
    <w:p>
      <w:pPr>
        <w:numPr>
          <w:ilvl w:val="0"/>
          <w:numId w:val="1023"/>
        </w:numPr>
        <w:pStyle w:val="Compact"/>
      </w:pPr>
      <w:r>
        <w:t xml:space="preserve">📋 核心个股三源行情与公告数据缺失，个股策略必须保留条件触发和风控。</w:t>
      </w:r>
    </w:p>
    <w:p>
      <w:pPr>
        <w:numPr>
          <w:ilvl w:val="0"/>
          <w:numId w:val="1023"/>
        </w:numPr>
        <w:pStyle w:val="Compact"/>
      </w:pPr>
      <w:r>
        <w:t xml:space="preserve">🚫 深套持仓不构成补仓理由；风语筑未收复前收、弘元绿能缺少光伏共振时均不宜主动加仓。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生成时间：2026-08-21 15:21（北京时间，Asia/Shanghai）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2026-08-21T07:23:55Z</dcterms:created>
  <dcterms:modified xsi:type="dcterms:W3CDTF">2026-08-21T07:23:55Z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