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9周三"/>
      <w:r>
        <w:t xml:space="preserve">🕐 午盘总结 | 2026-08-19（周三）</w:t>
      </w:r>
      <w:bookmarkEnd w:id="20"/>
    </w:p>
    <w:p>
      <w:pPr>
        <w:pStyle w:val="BlockText"/>
      </w:pPr>
      <w:r>
        <w:t xml:space="preserve">数据基准：2026-08-19 11:45。指数经新浪、东方财富、腾讯三源交叉验证一致；涨跌家数与全市场成交额为同花顺单源。东方财富资金流、板块排行、活跃个股、涨跌停样本及核心个股交叉校验均因 HTTP 502 失败，相关榜单和结论已降级为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午间点位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涨跌幅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上证指数</w:t>
            </w:r>
          </w:p>
        </w:tc>
        <w:tc>
          <w:p>
            <w:pPr>
              <w:pStyle w:val="Compact"/>
              <w:jc w:val="right"/>
            </w:pPr>
            <w:r>
              <w:t xml:space="preserve">3912.1714</w:t>
            </w:r>
          </w:p>
        </w:tc>
        <w:tc>
          <w:p>
            <w:pPr>
              <w:pStyle w:val="Compact"/>
              <w:jc w:val="right"/>
            </w:pPr>
            <w:r>
              <w:t xml:space="preserve">📉 -1.9581%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深证成指</w:t>
            </w:r>
          </w:p>
        </w:tc>
        <w:tc>
          <w:p>
            <w:pPr>
              <w:pStyle w:val="Compact"/>
              <w:jc w:val="right"/>
            </w:pPr>
            <w:r>
              <w:t xml:space="preserve">14041.763</w:t>
            </w:r>
          </w:p>
        </w:tc>
        <w:tc>
          <w:p>
            <w:pPr>
              <w:pStyle w:val="Compact"/>
              <w:jc w:val="right"/>
            </w:pPr>
            <w:r>
              <w:t xml:space="preserve">📉 -3.9715%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创业板指</w:t>
            </w:r>
          </w:p>
        </w:tc>
        <w:tc>
          <w:p>
            <w:pPr>
              <w:pStyle w:val="Compact"/>
              <w:jc w:val="right"/>
            </w:pPr>
            <w:r>
              <w:t xml:space="preserve">3520.968</w:t>
            </w:r>
          </w:p>
        </w:tc>
        <w:tc>
          <w:p>
            <w:pPr>
              <w:pStyle w:val="Compact"/>
              <w:jc w:val="right"/>
            </w:pPr>
            <w:r>
              <w:t xml:space="preserve">📉 -4.9816%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科创50</w:t>
            </w:r>
          </w:p>
        </w:tc>
        <w:tc>
          <w:p>
            <w:pPr>
              <w:pStyle w:val="Compact"/>
              <w:jc w:val="right"/>
            </w:pPr>
            <w:r>
              <w:t xml:space="preserve">1682.1954</w:t>
            </w:r>
          </w:p>
        </w:tc>
        <w:tc>
          <w:p>
            <w:pPr>
              <w:pStyle w:val="Compact"/>
              <w:jc w:val="right"/>
            </w:pPr>
            <w:r>
              <w:t xml:space="preserve">📉 -6.0685%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沪深300</w:t>
            </w:r>
          </w:p>
        </w:tc>
        <w:tc>
          <w:p>
            <w:pPr>
              <w:pStyle w:val="Compact"/>
              <w:jc w:val="right"/>
            </w:pPr>
            <w:r>
              <w:t xml:space="preserve">4611.765</w:t>
            </w:r>
          </w:p>
        </w:tc>
        <w:tc>
          <w:p>
            <w:pPr>
              <w:pStyle w:val="Compact"/>
              <w:jc w:val="right"/>
            </w:pPr>
            <w:r>
              <w:t xml:space="preserve">📉 -2.4133%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💰 同花顺单源确认全市场上午累计成交额</w:t>
      </w:r>
      <w:r>
        <w:t xml:space="preserve"> </w:t>
      </w:r>
      <w:r>
        <w:rPr>
          <w:b/>
        </w:rPr>
        <w:t xml:space="preserve">16311.47亿元</w:t>
      </w:r>
      <w:r>
        <w:t xml:space="preserve">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，因此不采用</w:t>
      </w:r>
      <w:r>
        <w:t xml:space="preserve">“</w:t>
      </w:r>
      <w:r>
        <w:t xml:space="preserve">较昨日同期缩量</w:t>
      </w:r>
      <w:r>
        <w:t xml:space="preserve">”</w:t>
      </w:r>
      <w:r>
        <w:t xml:space="preserve">及任何变化百分比。</w:t>
      </w:r>
    </w:p>
    <w:p>
      <w:pPr>
        <w:numPr>
          <w:ilvl w:val="0"/>
          <w:numId w:val="1001"/>
        </w:numPr>
        <w:pStyle w:val="Compact"/>
      </w:pPr>
      <w:r>
        <w:t xml:space="preserve">📉 同花顺单源涨跌家数为</w:t>
      </w:r>
      <w:r>
        <w:t xml:space="preserve"> </w:t>
      </w:r>
      <w:r>
        <w:rPr>
          <w:b/>
        </w:rPr>
        <w:t xml:space="preserve">580/4927</w:t>
      </w:r>
      <w:r>
        <w:t xml:space="preserve">，平盘</w:t>
      </w:r>
      <w:r>
        <w:t xml:space="preserve"> </w:t>
      </w:r>
      <w:r>
        <w:rPr>
          <w:b/>
        </w:rPr>
        <w:t xml:space="preserve">34</w:t>
      </w:r>
      <w:r>
        <w:t xml:space="preserve">，涨停</w:t>
      </w:r>
      <w:r>
        <w:t xml:space="preserve"> </w:t>
      </w:r>
      <w:r>
        <w:rPr>
          <w:b/>
        </w:rPr>
        <w:t xml:space="preserve">31</w:t>
      </w:r>
      <w:r>
        <w:t xml:space="preserve">、跌停</w:t>
      </w:r>
      <w:r>
        <w:t xml:space="preserve"> </w:t>
      </w:r>
      <w:r>
        <w:rPr>
          <w:b/>
        </w:rPr>
        <w:t xml:space="preserve">36</w:t>
      </w:r>
      <w:r>
        <w:t xml:space="preserve">；下跌家数显著占优，赚钱效应很弱。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成长科技集中退潮、防御板块相对抗跌，市场处于高波动风险释放阶段。</w:t>
      </w:r>
    </w:p>
    <w:p>
      <w:pPr>
        <w:numPr>
          <w:ilvl w:val="0"/>
          <w:numId w:val="1001"/>
        </w:numPr>
        <w:pStyle w:val="Compact"/>
      </w:pPr>
      <w:r>
        <w:t xml:space="preserve">⚠️ 科创50跌</w:t>
      </w:r>
      <w:r>
        <w:t xml:space="preserve"> </w:t>
      </w:r>
      <w:r>
        <w:rPr>
          <w:b/>
        </w:rPr>
        <w:t xml:space="preserve">6.0685%</w:t>
      </w:r>
      <w:r>
        <w:t xml:space="preserve">、创业板指跌</w:t>
      </w:r>
      <w:r>
        <w:t xml:space="preserve"> </w:t>
      </w:r>
      <w:r>
        <w:rPr>
          <w:b/>
        </w:rPr>
        <w:t xml:space="preserve">4.9816%</w:t>
      </w:r>
      <w:r>
        <w:t xml:space="preserve">，明显弱于上证指数，风格由高弹性成长向防御倾斜。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结构化板块 TOP10 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，不能生成真实涨幅排名，也不能补写板块涨幅、成交额或主力净流入数值。</w:t>
      </w:r>
    </w:p>
    <w:p>
      <w:pPr>
        <w:numPr>
          <w:ilvl w:val="0"/>
          <w:numId w:val="1002"/>
        </w:numPr>
        <w:pStyle w:val="Compact"/>
      </w:pPr>
      <w:r>
        <w:t xml:space="preserve">⚠️ 华泰补充文本只提供方向线索，不是可替代东方财富结构化榜单的唯一事实源；以下不按 TOP10 排名使用。</w:t>
      </w:r>
    </w:p>
    <w:p>
      <w:pPr>
        <w:numPr>
          <w:ilvl w:val="0"/>
          <w:numId w:val="1002"/>
        </w:numPr>
        <w:pStyle w:val="Compact"/>
      </w:pPr>
      <w:r>
        <w:t xml:space="preserve">📈 华泰补充文本指向的相对强势方向包括：</w:t>
      </w:r>
      <w:r>
        <w:rPr>
          <w:b/>
        </w:rPr>
        <w:t xml:space="preserve">煤炭开采、房地产服务、银行、航运港口、农业、厨卫电器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 华泰文本提及的辨识度线索包括：煤炭方向的宝泰隆、陕西黑猫、大有能源、美锦能源；房地产服务的我爱我家、南都物业；航运港口的南京港；农业的京粮控股；厨卫电器的日出东方、亿田智能。</w:t>
      </w:r>
    </w:p>
    <w:p>
      <w:pPr>
        <w:numPr>
          <w:ilvl w:val="0"/>
          <w:numId w:val="1002"/>
        </w:numPr>
        <w:pStyle w:val="Compact"/>
      </w:pPr>
      <w:r>
        <w:t xml:space="preserve">🚫 由于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均失败，上述个股的精确涨幅、涨停状态、成交额和封单特征均未完成本地结构化复核，午后只能作为观察线索，不能据此追价。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💰 主力净流入 TOP10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，东方财富接口返回 HTTP 502，采集 JSON 中没有可用的当日上午净流入 TOP10。</w:t>
      </w:r>
    </w:p>
    <w:p>
      <w:pPr>
        <w:numPr>
          <w:ilvl w:val="0"/>
          <w:numId w:val="1003"/>
        </w:numPr>
        <w:pStyle w:val="Compact"/>
      </w:pPr>
      <w:r>
        <w:t xml:space="preserve">🚫 不沿用昨日资金榜单冒充今日数据，也不使用搜索结果或华泰文本补齐金额。</w:t>
      </w:r>
    </w:p>
    <w:p>
      <w:pPr>
        <w:pStyle w:val="Heading3"/>
      </w:pPr>
      <w:bookmarkStart w:id="25" w:name="主力净流出-top10"/>
      <w:r>
        <w:t xml:space="preserve">⚠️ 主力净流出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，采集 JSON 中没有可用的当日上午净流出 TOP10。</w:t>
      </w:r>
    </w:p>
    <w:p>
      <w:pPr>
        <w:numPr>
          <w:ilvl w:val="0"/>
          <w:numId w:val="1004"/>
        </w:numPr>
        <w:pStyle w:val="Compact"/>
      </w:pPr>
      <w:r>
        <w:t xml:space="preserve">🚫 科技硬件与机器人走弱只能由指数、广度和华泰补充文本定性描述，不能写成未经确认的资金流出金额或排名。</w:t>
      </w:r>
    </w:p>
    <w:p>
      <w:pPr>
        <w:pStyle w:val="Heading3"/>
      </w:pPr>
      <w:bookmarkStart w:id="26" w:name="可确认的风险信号"/>
      <w:r>
        <w:t xml:space="preserve">📉 可确认的风险信号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📉 科创50</w:t>
      </w:r>
      <w:r>
        <w:t xml:space="preserve"> </w:t>
      </w:r>
      <w:r>
        <w:rPr>
          <w:b/>
        </w:rPr>
        <w:t xml:space="preserve">-6.0685%</w:t>
      </w:r>
      <w:r>
        <w:t xml:space="preserve">、创业板指</w:t>
      </w:r>
      <w:r>
        <w:t xml:space="preserve"> </w:t>
      </w:r>
      <w:r>
        <w:rPr>
          <w:b/>
        </w:rPr>
        <w:t xml:space="preserve">-4.9816%</w:t>
      </w:r>
      <w:r>
        <w:t xml:space="preserve">，成长风格承压最重。</w:t>
      </w:r>
    </w:p>
    <w:p>
      <w:pPr>
        <w:numPr>
          <w:ilvl w:val="0"/>
          <w:numId w:val="1005"/>
        </w:numPr>
        <w:pStyle w:val="Compact"/>
      </w:pPr>
      <w:r>
        <w:t xml:space="preserve">📉 全市场</w:t>
      </w:r>
      <w:r>
        <w:t xml:space="preserve"> </w:t>
      </w:r>
      <w:r>
        <w:rPr>
          <w:b/>
        </w:rPr>
        <w:t xml:space="preserve">4927只下跌</w:t>
      </w:r>
      <w:r>
        <w:t xml:space="preserve">、</w:t>
      </w:r>
      <w:r>
        <w:rPr>
          <w:b/>
        </w:rPr>
        <w:t xml:space="preserve">36只跌停</w:t>
      </w:r>
      <w:r>
        <w:t xml:space="preserve">，而上涨仅</w:t>
      </w:r>
      <w:r>
        <w:t xml:space="preserve"> </w:t>
      </w:r>
      <w:r>
        <w:rPr>
          <w:b/>
        </w:rPr>
        <w:t xml:space="preserve">580只</w:t>
      </w:r>
      <w:r>
        <w:t xml:space="preserve">、涨停</w:t>
      </w:r>
      <w:r>
        <w:t xml:space="preserve"> </w:t>
      </w:r>
      <w:r>
        <w:rPr>
          <w:b/>
        </w:rPr>
        <w:t xml:space="preserve">31只</w:t>
      </w:r>
      <w:r>
        <w:t xml:space="preserve">，风险释放呈广泛扩散。</w:t>
      </w:r>
    </w:p>
    <w:p>
      <w:pPr>
        <w:numPr>
          <w:ilvl w:val="0"/>
          <w:numId w:val="1005"/>
        </w:numPr>
        <w:pStyle w:val="Compact"/>
      </w:pPr>
      <w:r>
        <w:t xml:space="preserve">⚠️ 华泰补充文本称 CPO、半导体、存储芯片、电子化学品、元件及人形机器人集中回调；因资金流和涨跌停结构化源缺失，暂定性为</w:t>
      </w:r>
      <w:r>
        <w:t xml:space="preserve">“</w:t>
      </w:r>
      <w:r>
        <w:t xml:space="preserve">高位兑现与风险偏好收缩叠加</w:t>
      </w:r>
      <w:r>
        <w:t xml:space="preserve">”</w:t>
      </w:r>
      <w:r>
        <w:t xml:space="preserve">，具体流出规模未核验。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科技硬件—半导体/CPO/存储/元件：高优先级回避。</w:t>
      </w:r>
      <w:r>
        <w:t xml:space="preserve"> </w:t>
      </w:r>
      <w:r>
        <w:t xml:space="preserve">科创50跌幅达到</w:t>
      </w:r>
      <w:r>
        <w:t xml:space="preserve"> </w:t>
      </w:r>
      <w:r>
        <w:rPr>
          <w:b/>
        </w:rPr>
        <w:t xml:space="preserve">6.0685%</w:t>
      </w:r>
      <w:r>
        <w:t xml:space="preserve">，华泰补充文本亦指向相关细分集体回调；在主力资金榜单缺失时，不做</w:t>
      </w:r>
      <w:r>
        <w:t xml:space="preserve">“</w:t>
      </w:r>
      <w:r>
        <w:t xml:space="preserve">跌得多就是低吸</w:t>
      </w:r>
      <w:r>
        <w:t xml:space="preserve">”</w:t>
      </w:r>
      <w:r>
        <w:t xml:space="preserve">的推断。</w:t>
      </w:r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人形机器人：高位退潮风险。</w:t>
      </w:r>
      <w:r>
        <w:t xml:space="preserve"> </w:t>
      </w:r>
      <w:r>
        <w:t xml:space="preserve">华泰文本提及中大力德、巨轮智能、五洲新春、晋拓股份走弱；涨跌停样本未复核，午后先看止跌而非抢反弹。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高位题材股：兑现风险。</w:t>
      </w:r>
      <w:r>
        <w:t xml:space="preserve"> </w:t>
      </w:r>
      <w:r>
        <w:t xml:space="preserve">跌停数</w:t>
      </w:r>
      <w:r>
        <w:t xml:space="preserve"> </w:t>
      </w:r>
      <w:r>
        <w:rPr>
          <w:b/>
        </w:rPr>
        <w:t xml:space="preserve">36只</w:t>
      </w:r>
      <w:r>
        <w:t xml:space="preserve">，已高于涨停数</w:t>
      </w:r>
      <w:r>
        <w:t xml:space="preserve"> </w:t>
      </w:r>
      <w:r>
        <w:rPr>
          <w:b/>
        </w:rPr>
        <w:t xml:space="preserve">31只</w:t>
      </w:r>
      <w:r>
        <w:t xml:space="preserve">；若午后跌停家数继续增加，情绪可能从退潮进一步转向恐慌。</w:t>
      </w:r>
    </w:p>
    <w:p>
      <w:pPr>
        <w:numPr>
          <w:ilvl w:val="0"/>
          <w:numId w:val="100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验证条件</w:t>
      </w:r>
      <w:r>
        <w:t xml:space="preserve">：只有创业板指、科创50跌幅持续收窄，且跌停数不再扩大，才可把科技从</w:t>
      </w:r>
      <w:r>
        <w:t xml:space="preserve">“</w:t>
      </w:r>
      <w:r>
        <w:t xml:space="preserve">回避</w:t>
      </w:r>
      <w:r>
        <w:t xml:space="preserve">”</w:t>
      </w:r>
      <w:r>
        <w:t xml:space="preserve">下调为</w:t>
      </w:r>
      <w:r>
        <w:t xml:space="preserve">“</w:t>
      </w:r>
      <w:r>
        <w:t xml:space="preserve">观察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实盘"/>
      <w:r>
        <w:t xml:space="preserve">🎯 盘前预判 vs 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银行防御逻辑命中。</w:t>
      </w:r>
      <w:r>
        <w:t xml:space="preserve"> </w:t>
      </w:r>
      <w:r>
        <w:t xml:space="preserve">盘前将国有大行列为稳健底仓；午间工商银行报</w:t>
      </w:r>
      <w:r>
        <w:t xml:space="preserve"> </w:t>
      </w:r>
      <w:r>
        <w:rPr>
          <w:b/>
        </w:rPr>
        <w:t xml:space="preserve">7.81元、+1.83%</w:t>
      </w:r>
      <w:r>
        <w:t xml:space="preserve">，在上证指数跌</w:t>
      </w:r>
      <w:r>
        <w:t xml:space="preserve"> </w:t>
      </w:r>
      <w:r>
        <w:rPr>
          <w:b/>
        </w:rPr>
        <w:t xml:space="preserve">1.9581%</w:t>
      </w:r>
      <w:r>
        <w:t xml:space="preserve">的环境中体现明显相对强度。</w:t>
      </w:r>
    </w:p>
    <w:p>
      <w:pPr>
        <w:numPr>
          <w:ilvl w:val="0"/>
          <w:numId w:val="100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高位科技兑现风险命中。</w:t>
      </w:r>
      <w:r>
        <w:t xml:space="preserve"> </w:t>
      </w:r>
      <w:r>
        <w:t xml:space="preserve">盘前明确回避高位光通信、PCB、数字芯片及纯情绪小票；上午科创50和创业板指分别下跌</w:t>
      </w:r>
      <w:r>
        <w:t xml:space="preserve"> </w:t>
      </w:r>
      <w:r>
        <w:rPr>
          <w:b/>
        </w:rPr>
        <w:t xml:space="preserve">6.0685%</w:t>
      </w:r>
      <w:r>
        <w:t xml:space="preserve">、</w:t>
      </w:r>
      <w:r>
        <w:rPr>
          <w:b/>
        </w:rPr>
        <w:t xml:space="preserve">4.9816%</w:t>
      </w:r>
      <w:r>
        <w:t xml:space="preserve">，成长端成为主要风险源。</w:t>
      </w:r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住房公积金政策映射得到方向性验证。</w:t>
      </w:r>
      <w:r>
        <w:t xml:space="preserve"> </w:t>
      </w:r>
      <w:r>
        <w:t xml:space="preserve">华泰补充文本称房地产服务相对走强，与盘前</w:t>
      </w:r>
      <w:r>
        <w:t xml:space="preserve">“</w:t>
      </w:r>
      <w:r>
        <w:t xml:space="preserve">房地产服务/物业/家装</w:t>
      </w:r>
      <w:r>
        <w:t xml:space="preserve">”</w:t>
      </w:r>
      <w:r>
        <w:t xml:space="preserve">的政策映射一致；但板块涨幅与资金净流入未核验，不能上调为高置信主线。</w:t>
      </w:r>
    </w:p>
    <w:p>
      <w:pPr>
        <w:pStyle w:val="Heading3"/>
      </w:pPr>
      <w:bookmarkStart w:id="30" w:name="偏差点"/>
      <w:r>
        <w:t xml:space="preserve">⚠️ 偏差点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指数弱度超出</w:t>
      </w:r>
      <w:r>
        <w:rPr>
          <w:b/>
        </w:rPr>
        <w:t xml:space="preserve">“</w:t>
      </w:r>
      <w:r>
        <w:rPr>
          <w:b/>
        </w:rPr>
        <w:t xml:space="preserve">偏弱震荡</w:t>
      </w:r>
      <w:r>
        <w:rPr>
          <w:b/>
        </w:rPr>
        <w:t xml:space="preserve">”</w:t>
      </w:r>
      <w:r>
        <w:rPr>
          <w:b/>
        </w:rPr>
        <w:t xml:space="preserve">预案。</w:t>
      </w:r>
      <w:r>
        <w:t xml:space="preserve"> </w:t>
      </w:r>
      <w:r>
        <w:t xml:space="preserve">全市场</w:t>
      </w:r>
      <w:r>
        <w:t xml:space="preserve"> </w:t>
      </w:r>
      <w:r>
        <w:rPr>
          <w:b/>
        </w:rPr>
        <w:t xml:space="preserve">4927只下跌</w:t>
      </w:r>
      <w:r>
        <w:t xml:space="preserve">、科创50跌超</w:t>
      </w:r>
      <w:r>
        <w:t xml:space="preserve"> </w:t>
      </w:r>
      <w:r>
        <w:rPr>
          <w:b/>
        </w:rPr>
        <w:t xml:space="preserve">6%</w:t>
      </w:r>
      <w:r>
        <w:t xml:space="preserve">，实际风险释放强于盘前对结构轮动的预期。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农业没有形成可确认的全面延续证据。</w:t>
      </w:r>
      <w:r>
        <w:t xml:space="preserve"> </w:t>
      </w:r>
      <w:r>
        <w:t xml:space="preserve">华泰文本仅称农业反复活跃并提及京粮控股，结构化板块排行、资金流与涨停扩散均缺失；盘前农业</w:t>
      </w:r>
      <w:r>
        <w:t xml:space="preserve">“</w:t>
      </w:r>
      <w:r>
        <w:t xml:space="preserve">分歧承接</w:t>
      </w:r>
      <w:r>
        <w:t xml:space="preserve">”</w:t>
      </w:r>
      <w:r>
        <w:t xml:space="preserve">方案只能降为观察。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显示面板和半导体设备未能确认独立性。</w:t>
      </w:r>
      <w:r>
        <w:t xml:space="preserve"> </w:t>
      </w:r>
      <w:r>
        <w:t xml:space="preserve">上午科技硬件整体承压，且资金流、活跃个股交叉校验失败，盘前相关方向暂不执行。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，午间行情样本全部成功。整体上，工商银行与防御主线明显共振；弘元绿能和风语筑均下跌，且缺少板块资金与本地三源个股校验，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603185 弘元绿能</w:t>
      </w:r>
      <w:r>
        <w:t xml:space="preserve">：华泰单源最新价</w:t>
      </w:r>
      <w:r>
        <w:t xml:space="preserve"> </w:t>
      </w:r>
      <w:r>
        <w:rPr>
          <w:b/>
        </w:rPr>
        <w:t xml:space="preserve">16.93元，-2.08%</w:t>
      </w:r>
      <w:r>
        <w:t xml:space="preserve">。所属光伏产业链；上午成长方向整体承压，光伏板块表现与资金流未核验，未看到与防御主线共振。💡 判断：</w:t>
      </w:r>
      <w:r>
        <w:rPr>
          <w:b/>
        </w:rPr>
        <w:t xml:space="preserve">偏弱、继续观察，不追高也不因下跌盲目补仓</w:t>
      </w:r>
      <w:r>
        <w:t xml:space="preserve">；只有个股重新站上当日开盘价、光伏板块同步止跌且资金恢复净流入，才可低吸跟踪。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603466 风语筑</w:t>
      </w:r>
      <w:r>
        <w:t xml:space="preserve">：华泰单源最新价</w:t>
      </w:r>
      <w:r>
        <w:t xml:space="preserve"> </w:t>
      </w:r>
      <w:r>
        <w:rPr>
          <w:b/>
        </w:rPr>
        <w:t xml:space="preserve">11.62元，-5.22%</w:t>
      </w:r>
      <w:r>
        <w:t xml:space="preserve">。所属数字文旅/展示及营销服务方向，与煤炭、银行等防御线无明显共振，跌幅也弱于上证指数。💡 判断：</w:t>
      </w:r>
      <w:r>
        <w:rPr>
          <w:b/>
        </w:rPr>
        <w:t xml:space="preserve">偏弱，以跟踪为主、暂不作为主攻方向</w:t>
      </w:r>
      <w:r>
        <w:t xml:space="preserve">；若反抽无量或再度跌破上午低位区域，应优先控制风险。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601398 工商银行</w:t>
      </w:r>
      <w:r>
        <w:t xml:space="preserve">：华泰单源最新价</w:t>
      </w:r>
      <w:r>
        <w:t xml:space="preserve"> </w:t>
      </w:r>
      <w:r>
        <w:rPr>
          <w:b/>
        </w:rPr>
        <w:t xml:space="preserve">7.81元，+1.83%</w:t>
      </w:r>
      <w:r>
        <w:t xml:space="preserve">。所属国有大行，在全市场普跌中逆势上涨，与防御风格共振最强。💡 判断：</w:t>
      </w:r>
      <w:r>
        <w:rPr>
          <w:b/>
        </w:rPr>
        <w:t xml:space="preserve">偏强、可继续持有观察，但不追高</w:t>
      </w:r>
      <w:r>
        <w:t xml:space="preserve">；若银行板块继续稳定指数且个股回踩承接有效，可作为稳健底仓，若由红转绿并失去相对强度则降低仓位。</w:t>
      </w:r>
    </w:p>
    <w:p>
      <w:pPr>
        <w:pStyle w:val="BlockText"/>
      </w:pPr>
      <w:r>
        <w:t xml:space="preserve">⚠️ 华泰行情是补充单源；</w:t>
      </w:r>
      <w:r>
        <w:rPr>
          <w:rStyle w:val="VerbatimChar"/>
        </w:rPr>
        <w:t xml:space="preserve">stock_quote_cross_checks.ok=false</w:t>
      </w:r>
      <w:r>
        <w:t xml:space="preserve">，上述三只个股未完成新浪/东方财富/腾讯交叉校验，判断采用条件式表达。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市场情绪判断"/>
      <w:r>
        <w:t xml:space="preserve">🎭 市场情绪判断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赚钱效应：很弱。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580只</w:t>
      </w:r>
      <w:r>
        <w:t xml:space="preserve">、下跌</w:t>
      </w:r>
      <w:r>
        <w:t xml:space="preserve"> </w:t>
      </w:r>
      <w:r>
        <w:rPr>
          <w:b/>
        </w:rPr>
        <w:t xml:space="preserve">4927只</w:t>
      </w:r>
      <w:r>
        <w:t xml:space="preserve">，下跌覆盖绝大多数个股。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情绪阶段：退潮偏恐慌。</w:t>
      </w:r>
      <w:r>
        <w:t xml:space="preserve"> </w:t>
      </w:r>
      <w:r>
        <w:t xml:space="preserve">跌停</w:t>
      </w:r>
      <w:r>
        <w:t xml:space="preserve"> </w:t>
      </w:r>
      <w:r>
        <w:rPr>
          <w:b/>
        </w:rPr>
        <w:t xml:space="preserve">36只</w:t>
      </w:r>
      <w:r>
        <w:t xml:space="preserve">多于涨停</w:t>
      </w:r>
      <w:r>
        <w:t xml:space="preserve"> </w:t>
      </w:r>
      <w:r>
        <w:rPr>
          <w:b/>
        </w:rPr>
        <w:t xml:space="preserve">31只</w:t>
      </w:r>
      <w:r>
        <w:t xml:space="preserve">，高位成长与题材承压。</w:t>
      </w:r>
    </w:p>
    <w:p>
      <w:pPr>
        <w:numPr>
          <w:ilvl w:val="0"/>
          <w:numId w:val="1010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市场风格：偏弱/防御。</w:t>
      </w:r>
      <w:r>
        <w:t xml:space="preserve"> </w:t>
      </w:r>
      <w:r>
        <w:t xml:space="preserve">该结论与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一致，银行等低波动方向相对占优。</w:t>
      </w:r>
    </w:p>
    <w:p>
      <w:pPr>
        <w:numPr>
          <w:ilvl w:val="0"/>
          <w:numId w:val="101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量能判断：仅确认上午成交额16311.47亿元。</w:t>
      </w:r>
      <w:r>
        <w:t xml:space="preserve"> </w:t>
      </w:r>
      <w:r>
        <w:t xml:space="preserve">比较口径未核验，不能据此声称放量或缩量。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投资方向分层"/>
      <w:r>
        <w:t xml:space="preserve">🎯 下午投资方向分层</w:t>
      </w:r>
      <w:bookmarkEnd w:id="33"/>
    </w:p>
    <w:p>
      <w:pPr>
        <w:pStyle w:val="Heading3"/>
      </w:pPr>
      <w:bookmarkStart w:id="34" w:name="方向一国有大行银行防御可参与优先级高"/>
      <w:r>
        <w:t xml:space="preserve">方向一：国有大行—银行防御（可参与，优先级：高）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：上证指数跌</w:t>
      </w:r>
      <w:r>
        <w:t xml:space="preserve"> </w:t>
      </w:r>
      <w:r>
        <w:rPr>
          <w:b/>
        </w:rPr>
        <w:t xml:space="preserve">1.9581%</w:t>
      </w:r>
      <w:r>
        <w:t xml:space="preserve">，弱于科创50的</w:t>
      </w:r>
      <w:r>
        <w:t xml:space="preserve"> </w:t>
      </w:r>
      <w:r>
        <w:rPr>
          <w:b/>
        </w:rPr>
        <w:t xml:space="preserve">-6.0685%</w:t>
      </w:r>
      <w:r>
        <w:t xml:space="preserve">；全市场</w:t>
      </w:r>
      <w:r>
        <w:t xml:space="preserve"> </w:t>
      </w:r>
      <w:r>
        <w:rPr>
          <w:b/>
        </w:rPr>
        <w:t xml:space="preserve">4927只下跌</w:t>
      </w:r>
      <w:r>
        <w:t xml:space="preserve">，防御需求突出；华泰文本将银行列为相对强势板块；工商银行</w:t>
      </w:r>
      <w:r>
        <w:t xml:space="preserve"> </w:t>
      </w:r>
      <w:r>
        <w:rPr>
          <w:b/>
        </w:rPr>
        <w:t xml:space="preserve">7.81元、+1.83%</w:t>
      </w:r>
      <w:r>
        <w:t xml:space="preserve">，呈现个股相对强度。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：工商银行（华泰单源逆势上涨，防御共振最明确）；中信银行、成都银行、南京银行（仅为华泰文本提及的板块线索，精确行情未核验）。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：激进只做回踩承接，不追午前冲高；稳健以工商银行等国有大行为底仓观察；保守保持现金，等待指数跌幅收窄。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：银行板块午后继续相对指数走强，工商银行回踩后不转弱，且上证指数不再扩大跌幅。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：工商银行由红转绿并弱于上证指数，或银行板块无法继续稳定权重指数。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：资金流榜单缺失，无法确认机构净流入延续；普跌环境中防御股也可能补跌。</w:t>
      </w:r>
    </w:p>
    <w:p>
      <w:pPr>
        <w:pStyle w:val="Heading3"/>
      </w:pPr>
      <w:bookmarkStart w:id="35" w:name="方向二煤炭开采高股息防御只观察优先级中"/>
      <w:r>
        <w:t xml:space="preserve">方向二：煤炭开采—高股息防御（只观察，优先级：中）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为偏弱/防御；华泰文本称煤炭开采逆势走强，并提及宝泰隆、陕西黑猫、大有能源、美锦能源等辨识度线索；全市场普跌强化避险逻辑。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：宝泰隆、陕西黑猫、大有能源、美锦能源（均仅作华泰文本线索，精确涨幅、涨停状态及成交额未完成结构化复核）。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：激进也只允许极小仓等待分歧承接；稳健与保守均不追高，优先观察午后板块扩散。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：板块午后仍逆势、核心股未出现集中开板或快速回落，并能获得可核验资金流支持。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：防御股冲高回落、核心线索股集体转弱，或指数继续下杀引发补跌。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：当前缺少板块涨幅、成交额和主力净流入三项结构化证据，不能提升为高置信交易主线。</w:t>
      </w:r>
    </w:p>
    <w:p>
      <w:pPr>
        <w:pStyle w:val="Heading3"/>
      </w:pPr>
      <w:bookmarkStart w:id="36" w:name="方向三房地产服务物业住房服务只观察优先级中低"/>
      <w:r>
        <w:t xml:space="preserve">方向三：房地产服务—物业/住房服务（只观察，优先级：中低）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：盘前已确认住房公积金制度修改及</w:t>
      </w:r>
      <w:r>
        <w:t xml:space="preserve"> </w:t>
      </w:r>
      <w:r>
        <w:rPr>
          <w:b/>
        </w:rPr>
        <w:t xml:space="preserve">2026-09-20</w:t>
      </w:r>
      <w:r>
        <w:t xml:space="preserve">施行时间；华泰文本称房地产服务相对走强，并提及我爱我家、南都物业；但板块排行与资金流未核验，证据链不完整。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：我爱我家、南都物业（政策映射与华泰文本辨识度线索；精确行情和涨停状态未复核）。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：只观察政策映射能否形成板块扩散；不因单一消息脉冲追高。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：午后板块维持强势、成交活跃并出现可核验资金净流入，核心股承接稳定。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：板块冲高回落、政策映射仅停留在个股脉冲，或核心股跌破开盘价后无法收回。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：政策改善住房相关消费条件，不等同于房地产销售和企业盈利立即反转。</w:t>
      </w:r>
    </w:p>
    <w:p>
      <w:pPr>
        <w:pStyle w:val="Heading3"/>
      </w:pPr>
      <w:bookmarkStart w:id="37" w:name="方向四科技硬件半导体cpo存储机器人应回避"/>
      <w:r>
        <w:t xml:space="preserve">方向四：科技硬件—半导体/CPO/存储/机器人（应回避）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</w:t>
      </w:r>
      <w:r>
        <w:t xml:space="preserve"> </w:t>
      </w:r>
      <w:r>
        <w:rPr>
          <w:b/>
        </w:rPr>
        <w:t xml:space="preserve">-6.0685%</w:t>
      </w:r>
      <w:r>
        <w:t xml:space="preserve">、创业板指</w:t>
      </w:r>
      <w:r>
        <w:t xml:space="preserve"> </w:t>
      </w:r>
      <w:r>
        <w:rPr>
          <w:b/>
        </w:rPr>
        <w:t xml:space="preserve">-4.9816%</w:t>
      </w:r>
      <w:r>
        <w:t xml:space="preserve">；华泰文本指向半导体、CPO、存储、元件与机器人集中回调；跌停</w:t>
      </w:r>
      <w:r>
        <w:t xml:space="preserve"> </w:t>
      </w:r>
      <w:r>
        <w:rPr>
          <w:b/>
        </w:rPr>
        <w:t xml:space="preserve">36只</w:t>
      </w:r>
      <w:r>
        <w:t xml:space="preserve">且全市场</w:t>
      </w:r>
      <w:r>
        <w:t xml:space="preserve"> </w:t>
      </w:r>
      <w:r>
        <w:rPr>
          <w:b/>
        </w:rPr>
        <w:t xml:space="preserve">4927只下跌</w:t>
      </w:r>
      <w:r>
        <w:t xml:space="preserve">，风险偏好明显收缩。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：不新增进攻标的；弘元绿能、风语筑仅作持仓/自选风险跟踪，不作为主攻方向。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：激进、稳健、保守三档均以回避追跌抄底为主；只有出现结构性止跌后才转为观察。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转观察条件</w:t>
      </w:r>
      <w:r>
        <w:t xml:space="preserve">：科创50与创业板指持续收窄跌幅，跌停家数停止扩大，科技板块出现可核验资金回流。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：若科技权重继续放量下跌或跌停扩散，则任何抢反弹方案立即失效。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：前期涨幅兑现、外围风险映射与拥挤交易可能继续叠加。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下午盘操作建议"/>
      <w:r>
        <w:t xml:space="preserve">🎯 下午盘操作建议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市场判断：弱势震荡，先防守后观察修复。</w:t>
      </w:r>
      <w:r>
        <w:t xml:space="preserve"> </w:t>
      </w:r>
      <w:r>
        <w:t xml:space="preserve">午后首要任务不是博反转，而是确认跌停家数、科创50与创业板指是否停止恶化。</w:t>
      </w:r>
    </w:p>
    <w:p>
      <w:pPr>
        <w:numPr>
          <w:ilvl w:val="0"/>
          <w:numId w:val="1015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激进仓位：最高40%。</w:t>
      </w:r>
      <w:r>
        <w:t xml:space="preserve"> </w:t>
      </w:r>
      <w:r>
        <w:t xml:space="preserve">仅限银行回踩承接或煤炭防御线的确认性机会；由于资金流、板块排行和涨跌停样本缺失，实际宜低于上限，单一方向不超过总仓位的20%。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稳健仓位：25%。</w:t>
      </w:r>
      <w:r>
        <w:t xml:space="preserve"> </w:t>
      </w:r>
      <w:r>
        <w:t xml:space="preserve">以工商银行等防御底仓为主，不参与科技急跌后的首次反抽，不追华泰文本所述的涨停线索。</w:t>
      </w:r>
    </w:p>
    <w:p>
      <w:pPr>
        <w:numPr>
          <w:ilvl w:val="0"/>
          <w:numId w:val="1015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保守仓位：10%。</w:t>
      </w:r>
      <w:r>
        <w:t xml:space="preserve"> </w:t>
      </w:r>
      <w:r>
        <w:t xml:space="preserve">现金优先，等待上涨家数改善、跌停数回落及指数跌幅收窄。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回避/减仓方向</w:t>
      </w:r>
      <w:r>
        <w:t xml:space="preserve">：半导体、CPO、存储芯片、电子元件、人形机器人及缺乏主线共振的高位题材；风语筑、弘元绿能若午后继续弱于指数和各自板块，优先控制风险。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加仓总触发</w:t>
      </w:r>
      <w:r>
        <w:t xml:space="preserve">：上证指数不再创新低，科创50/创业板指跌幅收窄，跌停数不再增加，并至少有一个结构化资金源恢复确认主线净流入。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组合失效条件</w:t>
      </w:r>
      <w:r>
        <w:t xml:space="preserve">：指数再度扩大跌幅、跌停扩散、银行由强转弱；触发后应降低仓位而非摊薄亏损。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数据质量与风险提示"/>
      <w:r>
        <w:t xml:space="preserve">⚠️ 数据质量与风险提示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📊 关键源覆盖</w:t>
      </w:r>
      <w:r>
        <w:t xml:space="preserve"> </w:t>
      </w:r>
      <w:r>
        <w:rPr>
          <w:b/>
        </w:rPr>
        <w:t xml:space="preserve">3/7（42.86%）</w:t>
      </w:r>
      <w:r>
        <w:t xml:space="preserve">：指数、同花顺市场广度、同花顺成交额可用；资金流、板块表现、活跃个股、涨跌停样本缺失。</w:t>
      </w:r>
    </w:p>
    <w:p>
      <w:pPr>
        <w:numPr>
          <w:ilvl w:val="0"/>
          <w:numId w:val="1016"/>
        </w:numPr>
        <w:pStyle w:val="Compact"/>
      </w:pPr>
      <w:r>
        <w:t xml:space="preserve">🔵 指数由新浪、东方财富、腾讯三源交叉验证，点位和涨跌幅一致。</w:t>
      </w:r>
    </w:p>
    <w:p>
      <w:pPr>
        <w:numPr>
          <w:ilvl w:val="0"/>
          <w:numId w:val="1016"/>
        </w:numPr>
        <w:pStyle w:val="Compact"/>
      </w:pPr>
      <w:r>
        <w:t xml:space="preserve">🟡 涨跌家数与全市场成交额均为同花顺单源可用；成交额比较口径为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，不使用变化百分比。</w:t>
      </w:r>
    </w:p>
    <w:p>
      <w:pPr>
        <w:numPr>
          <w:ilvl w:val="0"/>
          <w:numId w:val="1016"/>
        </w:numPr>
        <w:pStyle w:val="Compact"/>
      </w:pPr>
      <w:r>
        <w:t xml:space="preserve">🟠 华泰数据仅作为补充来源；自选股行情为单源，华泰文本中的板块和个股线索没有覆盖缺失的结构化榜单。</w:t>
      </w:r>
    </w:p>
    <w:p>
      <w:pPr>
        <w:numPr>
          <w:ilvl w:val="0"/>
          <w:numId w:val="1016"/>
        </w:numPr>
        <w:pStyle w:val="Compact"/>
      </w:pPr>
      <w:r>
        <w:t xml:space="preserve">🔴 当前属于普跌和高波动环境，任何午后修复都需等待资金与广度共同确认。本报告不构成收益保证或个性化投资承诺。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生成时间：2026-08-19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2026-08-19T03:51:33Z</dcterms:created>
  <dcterms:modified xsi:type="dcterms:W3CDTF">2026-08-19T03:51:33Z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