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全天复盘-2026-08-17周一"/>
      <w:r>
        <w:t xml:space="preserve">🕑 全天复盘 | 2026-08-17（周一）</w:t>
      </w:r>
      <w:bookmarkEnd w:id="20"/>
    </w:p>
    <w:p>
      <w:pPr>
        <w:pStyle w:val="BlockText"/>
      </w:pPr>
      <w:r>
        <w:t xml:space="preserve">数据口径：A 股盘面截至 2026-08-17 15:15。关键来源覆盖率为 3/7（42.86%）。指数由新浪、东方财富、腾讯三源交叉验证；市场广度与全市场成交额为同花顺单源。东方财富资金流、板块表现、活跃股、涨跌停明细及核心个股多源校验均因 HTTP 502 失败，因此资金 TOP10、板块正式排名和 TOP20 龙头明细均降级为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。华泰文本与选股结果仅作补充线索，不替代缺失的结构化事实。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全天行情概览"/>
      <w:r>
        <w:t xml:space="preserve">📊 全天行情概览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📈🔴</w:t>
      </w:r>
      <w:r>
        <w:t xml:space="preserve"> </w:t>
      </w:r>
      <w:r>
        <w:rPr>
          <w:b/>
        </w:rPr>
        <w:t xml:space="preserve">上证指数</w:t>
      </w:r>
      <w:r>
        <w:t xml:space="preserve">：3982.65 点，涨</w:t>
      </w:r>
      <w:r>
        <w:t xml:space="preserve"> </w:t>
      </w:r>
      <w:r>
        <w:rPr>
          <w:b/>
        </w:rPr>
        <w:t xml:space="preserve">1.41%</w:t>
      </w:r>
      <w:r>
        <w:t xml:space="preserve">；</w:t>
      </w:r>
      <w:r>
        <w:rPr>
          <w:b/>
        </w:rPr>
        <w:t xml:space="preserve">深证成指</w:t>
      </w:r>
      <w:r>
        <w:t xml:space="preserve">：14704.27 点，涨</w:t>
      </w:r>
      <w:r>
        <w:t xml:space="preserve"> </w:t>
      </w:r>
      <w:r>
        <w:rPr>
          <w:b/>
        </w:rPr>
        <w:t xml:space="preserve">2.44%</w:t>
      </w:r>
      <w:r>
        <w:t xml:space="preserve">；</w:t>
      </w:r>
      <w:r>
        <w:rPr>
          <w:b/>
        </w:rPr>
        <w:t xml:space="preserve">创业板指</w:t>
      </w:r>
      <w:r>
        <w:t xml:space="preserve">：3740.16 点，涨</w:t>
      </w:r>
      <w:r>
        <w:t xml:space="preserve"> </w:t>
      </w:r>
      <w:r>
        <w:rPr>
          <w:b/>
        </w:rPr>
        <w:t xml:space="preserve">3.14%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科创 50</w:t>
      </w:r>
      <w:r>
        <w:t xml:space="preserve">：1788.85 点，涨</w:t>
      </w:r>
      <w:r>
        <w:t xml:space="preserve"> </w:t>
      </w:r>
      <w:r>
        <w:rPr>
          <w:b/>
        </w:rPr>
        <w:t xml:space="preserve">4.14%</w:t>
      </w:r>
      <w:r>
        <w:t xml:space="preserve">；</w:t>
      </w:r>
      <w:r>
        <w:rPr>
          <w:b/>
        </w:rPr>
        <w:t xml:space="preserve">沪深 300</w:t>
      </w:r>
      <w:r>
        <w:t xml:space="preserve">：4741.10 点，涨</w:t>
      </w:r>
      <w:r>
        <w:t xml:space="preserve"> </w:t>
      </w:r>
      <w:r>
        <w:rPr>
          <w:b/>
        </w:rPr>
        <w:t xml:space="preserve">1.61%</w:t>
      </w:r>
      <w:r>
        <w:t xml:space="preserve">。成长指数显著强于权重指数，五项指数的新浪、东方财富、腾讯报价一致性正常。</w:t>
      </w:r>
    </w:p>
    <w:p>
      <w:pPr>
        <w:numPr>
          <w:ilvl w:val="0"/>
          <w:numId w:val="1001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全市场成交额</w:t>
      </w:r>
      <w:r>
        <w:t xml:space="preserve">：</w:t>
      </w:r>
      <w:r>
        <w:rPr>
          <w:b/>
        </w:rPr>
        <w:t xml:space="preserve">24025.10 亿元</w:t>
      </w:r>
      <w:r>
        <w:t xml:space="preserve">，来自同花顺单源；同花顺同时给出昨日成交额</w:t>
      </w:r>
      <w:r>
        <w:t xml:space="preserve"> </w:t>
      </w:r>
      <w:r>
        <w:rPr>
          <w:b/>
        </w:rPr>
        <w:t xml:space="preserve">21565.76 亿元</w:t>
      </w:r>
      <w:r>
        <w:t xml:space="preserve">和变动额</w:t>
      </w:r>
      <w:r>
        <w:t xml:space="preserve"> </w:t>
      </w:r>
      <w:r>
        <w:rPr>
          <w:b/>
        </w:rPr>
        <w:t xml:space="preserve">2459.34 亿元</w:t>
      </w:r>
      <w:r>
        <w:t xml:space="preserve">，但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，本报告只展示原始金额，不计算或使用成交额变化百分比。</w:t>
      </w:r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市场广度</w:t>
      </w:r>
      <w:r>
        <w:t xml:space="preserve">：上涨</w:t>
      </w:r>
      <w:r>
        <w:t xml:space="preserve"> </w:t>
      </w:r>
      <w:r>
        <w:rPr>
          <w:b/>
        </w:rPr>
        <w:t xml:space="preserve">4335</w:t>
      </w:r>
      <w:r>
        <w:t xml:space="preserve"> </w:t>
      </w:r>
      <w:r>
        <w:t xml:space="preserve">家、下跌</w:t>
      </w:r>
      <w:r>
        <w:t xml:space="preserve"> </w:t>
      </w:r>
      <w:r>
        <w:rPr>
          <w:b/>
        </w:rPr>
        <w:t xml:space="preserve">1064</w:t>
      </w:r>
      <w:r>
        <w:t xml:space="preserve"> </w:t>
      </w:r>
      <w:r>
        <w:t xml:space="preserve">家、平盘</w:t>
      </w:r>
      <w:r>
        <w:t xml:space="preserve"> </w:t>
      </w:r>
      <w:r>
        <w:rPr>
          <w:b/>
        </w:rPr>
        <w:t xml:space="preserve">140</w:t>
      </w:r>
      <w:r>
        <w:t xml:space="preserve"> </w:t>
      </w:r>
      <w:r>
        <w:t xml:space="preserve">家、停牌</w:t>
      </w:r>
      <w:r>
        <w:t xml:space="preserve"> </w:t>
      </w:r>
      <w:r>
        <w:rPr>
          <w:b/>
        </w:rPr>
        <w:t xml:space="preserve">5</w:t>
      </w:r>
      <w:r>
        <w:t xml:space="preserve"> </w:t>
      </w:r>
      <w:r>
        <w:t xml:space="preserve">家；涨停</w:t>
      </w:r>
      <w:r>
        <w:t xml:space="preserve"> </w:t>
      </w:r>
      <w:r>
        <w:rPr>
          <w:b/>
        </w:rPr>
        <w:t xml:space="preserve">110</w:t>
      </w:r>
      <w:r>
        <w:t xml:space="preserve"> </w:t>
      </w:r>
      <w:r>
        <w:t xml:space="preserve">家、跌停</w:t>
      </w:r>
      <w:r>
        <w:t xml:space="preserve"> </w:t>
      </w:r>
      <w:r>
        <w:rPr>
          <w:b/>
        </w:rPr>
        <w:t xml:space="preserve">1</w:t>
      </w:r>
      <w:r>
        <w:t xml:space="preserve"> </w:t>
      </w:r>
      <w:r>
        <w:t xml:space="preserve">家，来自同花顺单源。</w:t>
      </w:r>
    </w:p>
    <w:p>
      <w:pPr>
        <w:numPr>
          <w:ilvl w:val="0"/>
          <w:numId w:val="100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沪深 300 ETF 净申购方向：未核验</w:t>
      </w:r>
      <w:r>
        <w:t xml:space="preserve">。采集 JSON 未提供该代理指标，不能用北向资金文本或其他口径替代。</w:t>
      </w:r>
    </w:p>
    <w:p>
      <w:pPr>
        <w:numPr>
          <w:ilvl w:val="0"/>
          <w:numId w:val="1001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一句话特征</w:t>
      </w:r>
      <w:r>
        <w:t xml:space="preserve">：成长指数领涨、上涨家数占优、涨停扩散明显，全天风险偏好较高；但行业资金榜和板块结构化排行缺失，主线置信度需下调。</w:t>
      </w:r>
    </w:p>
    <w:p>
      <w:pPr>
        <w:numPr>
          <w:ilvl w:val="0"/>
          <w:numId w:val="1001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派生风格与仓位</w:t>
      </w:r>
      <w:r>
        <w:t xml:space="preserve">：</w:t>
      </w:r>
      <w:r>
        <w:rPr>
          <w:rStyle w:val="VerbatimChar"/>
        </w:rPr>
        <w:t xml:space="preserve">偏强/风险偏好较高</w:t>
      </w:r>
      <w:r>
        <w:t xml:space="preserve">；激进</w:t>
      </w:r>
      <w:r>
        <w:t xml:space="preserve"> </w:t>
      </w:r>
      <w:r>
        <w:rPr>
          <w:b/>
        </w:rPr>
        <w:t xml:space="preserve">80%</w:t>
      </w:r>
      <w:r>
        <w:t xml:space="preserve">、均衡</w:t>
      </w:r>
      <w:r>
        <w:t xml:space="preserve"> </w:t>
      </w:r>
      <w:r>
        <w:rPr>
          <w:b/>
        </w:rPr>
        <w:t xml:space="preserve">65%</w:t>
      </w:r>
      <w:r>
        <w:t xml:space="preserve">、保守</w:t>
      </w:r>
      <w:r>
        <w:t xml:space="preserve"> </w:t>
      </w:r>
      <w:r>
        <w:rPr>
          <w:b/>
        </w:rPr>
        <w:t xml:space="preserve">50%</w:t>
      </w:r>
      <w:r>
        <w:t xml:space="preserve">，最高仓位</w:t>
      </w:r>
      <w:r>
        <w:t xml:space="preserve"> </w:t>
      </w:r>
      <w:r>
        <w:rPr>
          <w:b/>
        </w:rPr>
        <w:t xml:space="preserve">80%</w:t>
      </w:r>
      <w:r>
        <w:t xml:space="preserve">，置信度 normal。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上午-vs-下午对比"/>
      <w:r>
        <w:t xml:space="preserve">⏰ 上午 vs 下午对比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指数继续加强</w:t>
      </w:r>
      <w:r>
        <w:t xml:space="preserve">：午间至收盘，上证涨幅由</w:t>
      </w:r>
      <w:r>
        <w:t xml:space="preserve"> </w:t>
      </w:r>
      <w:r>
        <w:rPr>
          <w:b/>
        </w:rPr>
        <w:t xml:space="preserve">0.84%</w:t>
      </w:r>
      <w:r>
        <w:t xml:space="preserve"> </w:t>
      </w:r>
      <w:r>
        <w:t xml:space="preserve">扩至</w:t>
      </w:r>
      <w:r>
        <w:t xml:space="preserve"> </w:t>
      </w:r>
      <w:r>
        <w:rPr>
          <w:b/>
        </w:rPr>
        <w:t xml:space="preserve">1.41%</w:t>
      </w:r>
      <w:r>
        <w:t xml:space="preserve">，增加</w:t>
      </w:r>
      <w:r>
        <w:t xml:space="preserve"> </w:t>
      </w:r>
      <w:r>
        <w:rPr>
          <w:b/>
        </w:rPr>
        <w:t xml:space="preserve">0.57 个百分点</w:t>
      </w:r>
      <w:r>
        <w:t xml:space="preserve">；深证由</w:t>
      </w:r>
      <w:r>
        <w:t xml:space="preserve"> </w:t>
      </w:r>
      <w:r>
        <w:rPr>
          <w:b/>
        </w:rPr>
        <w:t xml:space="preserve">1.26%</w:t>
      </w:r>
      <w:r>
        <w:t xml:space="preserve"> </w:t>
      </w:r>
      <w:r>
        <w:t xml:space="preserve">扩至</w:t>
      </w:r>
      <w:r>
        <w:t xml:space="preserve"> </w:t>
      </w:r>
      <w:r>
        <w:rPr>
          <w:b/>
        </w:rPr>
        <w:t xml:space="preserve">2.44%</w:t>
      </w:r>
      <w:r>
        <w:t xml:space="preserve">，增加</w:t>
      </w:r>
      <w:r>
        <w:t xml:space="preserve"> </w:t>
      </w:r>
      <w:r>
        <w:rPr>
          <w:b/>
        </w:rPr>
        <w:t xml:space="preserve">1.18 个百分点</w:t>
      </w:r>
      <w:r>
        <w:t xml:space="preserve">。</w:t>
      </w:r>
    </w:p>
    <w:p>
      <w:pPr>
        <w:numPr>
          <w:ilvl w:val="0"/>
          <w:numId w:val="1002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成长端加速</w:t>
      </w:r>
      <w:r>
        <w:t xml:space="preserve">：创业板由</w:t>
      </w:r>
      <w:r>
        <w:t xml:space="preserve"> </w:t>
      </w:r>
      <w:r>
        <w:rPr>
          <w:b/>
        </w:rPr>
        <w:t xml:space="preserve">1.33%</w:t>
      </w:r>
      <w:r>
        <w:t xml:space="preserve"> </w:t>
      </w:r>
      <w:r>
        <w:t xml:space="preserve">扩至</w:t>
      </w:r>
      <w:r>
        <w:t xml:space="preserve"> </w:t>
      </w:r>
      <w:r>
        <w:rPr>
          <w:b/>
        </w:rPr>
        <w:t xml:space="preserve">3.14%</w:t>
      </w:r>
      <w:r>
        <w:t xml:space="preserve">，增加</w:t>
      </w:r>
      <w:r>
        <w:t xml:space="preserve"> </w:t>
      </w:r>
      <w:r>
        <w:rPr>
          <w:b/>
        </w:rPr>
        <w:t xml:space="preserve">1.81 个百分点</w:t>
      </w:r>
      <w:r>
        <w:t xml:space="preserve">；科创 50 由</w:t>
      </w:r>
      <w:r>
        <w:t xml:space="preserve"> </w:t>
      </w:r>
      <w:r>
        <w:rPr>
          <w:b/>
        </w:rPr>
        <w:t xml:space="preserve">3.04%</w:t>
      </w:r>
      <w:r>
        <w:t xml:space="preserve"> </w:t>
      </w:r>
      <w:r>
        <w:t xml:space="preserve">扩至</w:t>
      </w:r>
      <w:r>
        <w:t xml:space="preserve"> </w:t>
      </w:r>
      <w:r>
        <w:rPr>
          <w:b/>
        </w:rPr>
        <w:t xml:space="preserve">4.14%</w:t>
      </w:r>
      <w:r>
        <w:t xml:space="preserve">，增加</w:t>
      </w:r>
      <w:r>
        <w:t xml:space="preserve"> </w:t>
      </w:r>
      <w:r>
        <w:rPr>
          <w:b/>
        </w:rPr>
        <w:t xml:space="preserve">1.10 个百分点</w:t>
      </w:r>
      <w:r>
        <w:t xml:space="preserve">。午后成长风格不仅维持，而且进一步强化。</w:t>
      </w:r>
    </w:p>
    <w:p>
      <w:pPr>
        <w:numPr>
          <w:ilvl w:val="0"/>
          <w:numId w:val="1002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赚钱效应扩散</w:t>
      </w:r>
      <w:r>
        <w:t xml:space="preserve">：上涨家数由</w:t>
      </w:r>
      <w:r>
        <w:t xml:space="preserve"> </w:t>
      </w:r>
      <w:r>
        <w:rPr>
          <w:b/>
        </w:rPr>
        <w:t xml:space="preserve">3853</w:t>
      </w:r>
      <w:r>
        <w:t xml:space="preserve"> </w:t>
      </w:r>
      <w:r>
        <w:t xml:space="preserve">增至</w:t>
      </w:r>
      <w:r>
        <w:t xml:space="preserve"> </w:t>
      </w:r>
      <w:r>
        <w:rPr>
          <w:b/>
        </w:rPr>
        <w:t xml:space="preserve">4335</w:t>
      </w:r>
      <w:r>
        <w:t xml:space="preserve">，增加</w:t>
      </w:r>
      <w:r>
        <w:t xml:space="preserve"> </w:t>
      </w:r>
      <w:r>
        <w:rPr>
          <w:b/>
        </w:rPr>
        <w:t xml:space="preserve">482</w:t>
      </w:r>
      <w:r>
        <w:t xml:space="preserve"> </w:t>
      </w:r>
      <w:r>
        <w:t xml:space="preserve">家；下跌家数由</w:t>
      </w:r>
      <w:r>
        <w:t xml:space="preserve"> </w:t>
      </w:r>
      <w:r>
        <w:rPr>
          <w:b/>
        </w:rPr>
        <w:t xml:space="preserve">1504</w:t>
      </w:r>
      <w:r>
        <w:t xml:space="preserve"> </w:t>
      </w:r>
      <w:r>
        <w:t xml:space="preserve">降至</w:t>
      </w:r>
      <w:r>
        <w:t xml:space="preserve"> </w:t>
      </w:r>
      <w:r>
        <w:rPr>
          <w:b/>
        </w:rPr>
        <w:t xml:space="preserve">1064</w:t>
      </w:r>
      <w:r>
        <w:t xml:space="preserve">，减少</w:t>
      </w:r>
      <w:r>
        <w:t xml:space="preserve"> </w:t>
      </w:r>
      <w:r>
        <w:rPr>
          <w:b/>
        </w:rPr>
        <w:t xml:space="preserve">440</w:t>
      </w:r>
      <w:r>
        <w:t xml:space="preserve"> </w:t>
      </w:r>
      <w:r>
        <w:t xml:space="preserve">家；涨停由</w:t>
      </w:r>
      <w:r>
        <w:t xml:space="preserve"> </w:t>
      </w:r>
      <w:r>
        <w:rPr>
          <w:b/>
        </w:rPr>
        <w:t xml:space="preserve">80</w:t>
      </w:r>
      <w:r>
        <w:t xml:space="preserve"> </w:t>
      </w:r>
      <w:r>
        <w:t xml:space="preserve">家增至</w:t>
      </w:r>
      <w:r>
        <w:t xml:space="preserve"> </w:t>
      </w:r>
      <w:r>
        <w:rPr>
          <w:b/>
        </w:rPr>
        <w:t xml:space="preserve">110</w:t>
      </w:r>
      <w:r>
        <w:t xml:space="preserve"> </w:t>
      </w:r>
      <w:r>
        <w:t xml:space="preserve">家。</w:t>
      </w:r>
    </w:p>
    <w:p>
      <w:pPr>
        <w:numPr>
          <w:ilvl w:val="0"/>
          <w:numId w:val="1002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午后新增成交额</w:t>
      </w:r>
      <w:r>
        <w:t xml:space="preserve">：按同花顺累计口径由</w:t>
      </w:r>
      <w:r>
        <w:t xml:space="preserve"> </w:t>
      </w:r>
      <w:r>
        <w:rPr>
          <w:b/>
        </w:rPr>
        <w:t xml:space="preserve">15069.28 亿元</w:t>
      </w:r>
      <w:r>
        <w:t xml:space="preserve">增至</w:t>
      </w:r>
      <w:r>
        <w:t xml:space="preserve"> </w:t>
      </w:r>
      <w:r>
        <w:rPr>
          <w:b/>
        </w:rPr>
        <w:t xml:space="preserve">24025.10 亿元</w:t>
      </w:r>
      <w:r>
        <w:t xml:space="preserve">，午后增加</w:t>
      </w:r>
      <w:r>
        <w:t xml:space="preserve"> </w:t>
      </w:r>
      <w:r>
        <w:rPr>
          <w:b/>
        </w:rPr>
        <w:t xml:space="preserve">8955.82 亿元</w:t>
      </w:r>
      <w:r>
        <w:t xml:space="preserve">。比较口径仅限同日累计差值，不据此推导同比增速。</w:t>
      </w:r>
    </w:p>
    <w:p>
      <w:pPr>
        <w:numPr>
          <w:ilvl w:val="0"/>
          <w:numId w:val="1002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午盘观点验证</w:t>
      </w:r>
      <w:r>
        <w:t xml:space="preserve">：午盘</w:t>
      </w:r>
      <w:r>
        <w:t xml:space="preserve">“</w:t>
      </w:r>
      <w:r>
        <w:t xml:space="preserve">AI 算力硬件条件参与、科创 50 保持强势则延续</w:t>
      </w:r>
      <w:r>
        <w:t xml:space="preserve">”</w:t>
      </w:r>
      <w:r>
        <w:t xml:space="preserve">的指数条件得到验证；科技成长相对优势延续至收盘。</w:t>
      </w:r>
    </w:p>
    <w:p>
      <w:pPr>
        <w:numPr>
          <w:ilvl w:val="0"/>
          <w:numId w:val="1002"/>
        </w:numPr>
        <w:pStyle w:val="Compact"/>
      </w:pPr>
      <w:r>
        <w:t xml:space="preserve">❌</w:t>
      </w:r>
      <w:r>
        <w:t xml:space="preserve"> </w:t>
      </w:r>
      <w:r>
        <w:rPr>
          <w:b/>
        </w:rPr>
        <w:t xml:space="preserve">仍未验证</w:t>
      </w:r>
      <w:r>
        <w:t xml:space="preserve">：农业、促消费、防灾减灾、商业航天是否形成独立资金主线，因板块资金、成交和涨停明细缺失，不能确认；白酒和影视的真实流出规模也未核验。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领涨板块-top10-与龙头观察"/>
      <w:r>
        <w:t xml:space="preserve">🔥 领涨板块 TOP10 与龙头观察</w:t>
      </w:r>
      <w:bookmarkEnd w:id="23"/>
    </w:p>
    <w:p>
      <w:pPr>
        <w:pStyle w:val="Heading3"/>
      </w:pPr>
      <w:bookmarkStart w:id="24" w:name="结构化榜单状态"/>
      <w:r>
        <w:t xml:space="preserve">⚠️ 结构化榜单状态</w:t>
      </w:r>
      <w:bookmarkEnd w:id="24"/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领涨板块 TOP10：未核验。</w:t>
      </w:r>
      <w:r>
        <w:t xml:space="preserve"> </w:t>
      </w:r>
      <w:r>
        <w:rPr>
          <w:rStyle w:val="VerbatimChar"/>
        </w:rPr>
        <w:t xml:space="preserve">sources.sector_performance.ok=false</w:t>
      </w:r>
      <w:r>
        <w:t xml:space="preserve">，不能把华泰文字顺序写成正式板块排名，也不能补写板块涨幅或成交额。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TOP20 龙头股详细榜：未核验。</w:t>
      </w:r>
      <w:r>
        <w:t xml:space="preserve"> </w:t>
      </w:r>
      <w:r>
        <w:rPr>
          <w:rStyle w:val="VerbatimChar"/>
        </w:rPr>
        <w:t xml:space="preserve">active_stocks</w:t>
      </w:r>
      <w:r>
        <w:t xml:space="preserve">、</w:t>
      </w:r>
      <w:r>
        <w:rPr>
          <w:rStyle w:val="VerbatimChar"/>
        </w:rPr>
        <w:t xml:space="preserve">limit_stocks</w:t>
      </w:r>
      <w:r>
        <w:t xml:space="preserve">、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均失败，无法提供完整、经多源校验的 TOP20。</w:t>
      </w:r>
    </w:p>
    <w:p>
      <w:pPr>
        <w:numPr>
          <w:ilvl w:val="0"/>
          <w:numId w:val="1003"/>
        </w:numPr>
        <w:pStyle w:val="Compact"/>
      </w:pPr>
      <w:r>
        <w:t xml:space="preserve">🚫 以下均为</w:t>
      </w:r>
      <w:r>
        <w:rPr>
          <w:b/>
        </w:rPr>
        <w:t xml:space="preserve">华泰单源补充线索</w:t>
      </w:r>
      <w:r>
        <w:t xml:space="preserve">，只可用于形成明日观察池，不可视作新浪、东方财富、腾讯共同确认的个股事实。</w:t>
      </w:r>
    </w:p>
    <w:p>
      <w:pPr>
        <w:pStyle w:val="Heading3"/>
      </w:pPr>
      <w:bookmarkStart w:id="25" w:name="科技成长线索"/>
      <w:r>
        <w:t xml:space="preserve">🚀 科技成长线索</w:t>
      </w:r>
      <w:bookmarkEnd w:id="25"/>
    </w:p>
    <w:p>
      <w:pPr>
        <w:numPr>
          <w:ilvl w:val="0"/>
          <w:numId w:val="1004"/>
        </w:numPr>
        <w:pStyle w:val="Compact"/>
      </w:pPr>
      <w:r>
        <w:t xml:space="preserve">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指向</w:t>
      </w:r>
      <w:r>
        <w:rPr>
          <w:b/>
        </w:rPr>
        <w:t xml:space="preserve">半导体/电子化学品、CPO/光通信、先进封装、HBM、玻璃基板</w:t>
      </w:r>
      <w:r>
        <w:t xml:space="preserve">等方向，并称半导体主力净流入</w:t>
      </w:r>
      <w:r>
        <w:t xml:space="preserve"> </w:t>
      </w:r>
      <w:r>
        <w:rPr>
          <w:b/>
        </w:rPr>
        <w:t xml:space="preserve">195.50 亿元</w:t>
      </w:r>
      <w:r>
        <w:t xml:space="preserve">。由于本地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失败，这一金额未获得结构化交叉验证，只能标记为华泰单源。</w:t>
      </w:r>
    </w:p>
    <w:p>
      <w:pPr>
        <w:numPr>
          <w:ilvl w:val="0"/>
          <w:numId w:val="1004"/>
        </w:numPr>
        <w:pStyle w:val="Compact"/>
      </w:pPr>
      <w:r>
        <w:t xml:space="preserve">华泰文本点名中石科技、宏昌电子、天通股份、通富微电、有研新材、太辰光、中瓷电子、沃格光电、共进股份等活跃；具体封板、连板和成交状态均未获本地多源校验。</w:t>
      </w:r>
    </w:p>
    <w:p>
      <w:pPr>
        <w:numPr>
          <w:ilvl w:val="0"/>
          <w:numId w:val="1004"/>
        </w:numPr>
        <w:pStyle w:val="Compact"/>
      </w:pPr>
      <w:r>
        <w:t xml:space="preserve">华泰选股结果可确认其单源前十涨幅样本包括：N 恒兴 30.05 元、涨 87.58%；戴维医疗 14.74 元、涨 20.03%；天山生物 10.73 元、涨 20.02%；聚和材料 95.68 元、涨 20.01%；电连技术 51.17 元、涨 20.00%。</w:t>
      </w:r>
    </w:p>
    <w:p>
      <w:pPr>
        <w:numPr>
          <w:ilvl w:val="0"/>
          <w:numId w:val="1004"/>
        </w:numPr>
        <w:pStyle w:val="Compact"/>
      </w:pPr>
      <w:r>
        <w:t xml:space="preserve">其余华泰单源前十样本为：海泰新光 89.76 元、涨 20.00%；苏州天脉 307.08 元、涨 20.00%；天准科技 94.80 元、涨 20.00%；太辰光 193.80 元、涨 20.00%；中远通 19.32 元、涨 20.00%。</w:t>
      </w:r>
    </w:p>
    <w:p>
      <w:pPr>
        <w:numPr>
          <w:ilvl w:val="0"/>
          <w:numId w:val="1004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明日判断</w:t>
      </w:r>
      <w:r>
        <w:t xml:space="preserve">：科技成长具指数与情绪共振，但个股一致性可能过强；优先等待分歧承接，不追开盘加速。</w:t>
      </w:r>
    </w:p>
    <w:p>
      <w:pPr>
        <w:pStyle w:val="Heading3"/>
      </w:pPr>
      <w:bookmarkStart w:id="26" w:name="农业与其他线索"/>
      <w:r>
        <w:t xml:space="preserve">🌾 农业与其他线索</w:t>
      </w:r>
      <w:bookmarkEnd w:id="26"/>
    </w:p>
    <w:p>
      <w:pPr>
        <w:numPr>
          <w:ilvl w:val="0"/>
          <w:numId w:val="1005"/>
        </w:numPr>
        <w:pStyle w:val="Compact"/>
      </w:pPr>
      <w:r>
        <w:t xml:space="preserve">华泰文本指向</w:t>
      </w:r>
      <w:r>
        <w:rPr>
          <w:b/>
        </w:rPr>
        <w:t xml:space="preserve">种业/粮食</w:t>
      </w:r>
      <w:r>
        <w:t xml:space="preserve">活跃，并点名农发种业、京粮控股、金健米业、秋乐种业、神农种业；结构化板块涨幅、资金与涨停扩散均缺失，暂列事件观察。</w:t>
      </w:r>
    </w:p>
    <w:p>
      <w:pPr>
        <w:numPr>
          <w:ilvl w:val="0"/>
          <w:numId w:val="1005"/>
        </w:numPr>
        <w:pStyle w:val="Compact"/>
      </w:pPr>
      <w:r>
        <w:t xml:space="preserve">华泰文本还提及培育钻石、贵金属、航天装备等方向，但没有可用的本地资金榜与成交额榜支撑，不能升级为高确定性主线。</w:t>
      </w:r>
    </w:p>
    <w:p>
      <w:pPr>
        <w:numPr>
          <w:ilvl w:val="0"/>
          <w:numId w:val="1005"/>
        </w:numPr>
        <w:pStyle w:val="Compact"/>
      </w:pPr>
      <w:r>
        <w:t xml:space="preserve">⚠️ 农业属于事件驱动特征较强的线索；若明日高开但无新增资金和扩散，不应追涨。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7" w:name="资金流向与数据缺口"/>
      <w:r>
        <w:t xml:space="preserve">💰 资金流向与数据缺口</w:t>
      </w:r>
      <w:bookmarkEnd w:id="27"/>
    </w:p>
    <w:p>
      <w:pPr>
        <w:pStyle w:val="Heading3"/>
      </w:pPr>
      <w:bookmarkStart w:id="28" w:name="主力净流入-top10"/>
      <w:r>
        <w:t xml:space="preserve">📈 主力净流入 TOP10</w:t>
      </w:r>
      <w:bookmarkEnd w:id="28"/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未核验，无法列出真实 TOP10 及金额。</w:t>
      </w:r>
      <w:r>
        <w:t xml:space="preserve"> </w:t>
      </w:r>
      <w:r>
        <w:rPr>
          <w:rStyle w:val="VerbatimChar"/>
        </w:rPr>
        <w:t xml:space="preserve">sources.money_flow.ok=false</w:t>
      </w:r>
      <w:r>
        <w:t xml:space="preserve">，采集 JSON 没有可用的结构化主力净流入榜。</w:t>
      </w:r>
    </w:p>
    <w:p>
      <w:pPr>
        <w:numPr>
          <w:ilvl w:val="0"/>
          <w:numId w:val="1006"/>
        </w:numPr>
        <w:pStyle w:val="Compact"/>
      </w:pPr>
      <w:r>
        <w:t xml:space="preserve">华泰文本中的半导体净流入</w:t>
      </w:r>
      <w:r>
        <w:t xml:space="preserve"> </w:t>
      </w:r>
      <w:r>
        <w:rPr>
          <w:b/>
        </w:rPr>
        <w:t xml:space="preserve">195.50 亿元</w:t>
      </w:r>
      <w:r>
        <w:t xml:space="preserve">、全市场主力净流入</w:t>
      </w:r>
      <w:r>
        <w:t xml:space="preserve"> </w:t>
      </w:r>
      <w:r>
        <w:rPr>
          <w:b/>
        </w:rPr>
        <w:t xml:space="preserve">516.21 亿元</w:t>
      </w:r>
      <w:r>
        <w:t xml:space="preserve">属于华泰补充文本，无法与本地东方财富榜单交叉验证，故不冒充真实 TOP10。</w:t>
      </w:r>
    </w:p>
    <w:p>
      <w:pPr>
        <w:pStyle w:val="Heading3"/>
      </w:pPr>
      <w:bookmarkStart w:id="29" w:name="主力净流出-top10"/>
      <w:r>
        <w:t xml:space="preserve">📉 主力净流出 TOP10</w:t>
      </w:r>
      <w:bookmarkEnd w:id="29"/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未核验，无法列出真实 TOP10 及金额。</w:t>
      </w:r>
      <w:r>
        <w:t xml:space="preserve"> </w:t>
      </w:r>
      <w:r>
        <w:t xml:space="preserve">同一资金接口失败，禁止用搜索结果、常识名单或华泰文字自行补齐十项。</w:t>
      </w:r>
    </w:p>
    <w:p>
      <w:pPr>
        <w:numPr>
          <w:ilvl w:val="0"/>
          <w:numId w:val="1007"/>
        </w:numPr>
        <w:pStyle w:val="Compact"/>
      </w:pPr>
      <w:r>
        <w:t xml:space="preserve">华泰文本中的白酒净流出</w:t>
      </w:r>
      <w:r>
        <w:t xml:space="preserve"> </w:t>
      </w:r>
      <w:r>
        <w:rPr>
          <w:b/>
        </w:rPr>
        <w:t xml:space="preserve">18.15 亿元</w:t>
      </w:r>
      <w:r>
        <w:t xml:space="preserve">同样仅作单源风险线索，不写入正式 TOP10 排名。</w:t>
      </w:r>
    </w:p>
    <w:p>
      <w:pPr>
        <w:pStyle w:val="Heading3"/>
      </w:pPr>
      <w:bookmarkStart w:id="30" w:name="使用边界"/>
      <w:r>
        <w:t xml:space="preserve">⚠️ 使用边界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💰 可确认的资金环境事实仅包括全市场成交额</w:t>
      </w:r>
      <w:r>
        <w:t xml:space="preserve"> </w:t>
      </w:r>
      <w:r>
        <w:rPr>
          <w:b/>
        </w:rPr>
        <w:t xml:space="preserve">24025.10 亿元</w:t>
      </w:r>
      <w:r>
        <w:t xml:space="preserve">；行业与个股资金去向的完整排序未核验。</w:t>
      </w:r>
    </w:p>
    <w:p>
      <w:pPr>
        <w:numPr>
          <w:ilvl w:val="0"/>
          <w:numId w:val="1008"/>
        </w:numPr>
        <w:pStyle w:val="Compact"/>
      </w:pPr>
      <w:r>
        <w:t xml:space="preserve">🚫 摘要仍保留</w:t>
      </w:r>
      <w:r>
        <w:t xml:space="preserve">“</w:t>
      </w:r>
      <w:r>
        <w:t xml:space="preserve">流入 TOP10/流出 TOP10</w:t>
      </w:r>
      <w:r>
        <w:t xml:space="preserve">”</w:t>
      </w:r>
      <w:r>
        <w:t xml:space="preserve">字段，但会明确写</w:t>
      </w:r>
      <w:r>
        <w:t xml:space="preserve">“</w:t>
      </w:r>
      <w:r>
        <w:t xml:space="preserve">未核验</w:t>
      </w:r>
      <w:r>
        <w:t xml:space="preserve">”</w:t>
      </w:r>
      <w:r>
        <w:t xml:space="preserve">，不会制造虚假榜单。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1" w:name="领跌板块-top5-与资金流出风险"/>
      <w:r>
        <w:t xml:space="preserve">🔴 领跌板块 TOP5 与资金流出风险</w:t>
      </w:r>
      <w:bookmarkEnd w:id="31"/>
    </w:p>
    <w:p>
      <w:pPr>
        <w:numPr>
          <w:ilvl w:val="0"/>
          <w:numId w:val="1009"/>
        </w:numPr>
        <w:pStyle w:val="Compact"/>
      </w:pPr>
      <w:r>
        <w:rPr>
          <w:b/>
        </w:rPr>
        <w:t xml:space="preserve">结构化领跌板块 TOP5：未核验。</w:t>
      </w:r>
      <w:r>
        <w:t xml:space="preserve"> </w:t>
      </w:r>
      <w:r>
        <w:rPr>
          <w:rStyle w:val="VerbatimChar"/>
        </w:rPr>
        <w:t xml:space="preserve">sector_performance</w:t>
      </w:r>
      <w:r>
        <w:t xml:space="preserve"> </w:t>
      </w:r>
      <w:r>
        <w:t xml:space="preserve">失败，无法提供真实跌幅排序。</w:t>
      </w:r>
    </w:p>
    <w:p>
      <w:pPr>
        <w:numPr>
          <w:ilvl w:val="0"/>
          <w:numId w:val="1009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白酒弱势线索</w:t>
      </w:r>
      <w:r>
        <w:t xml:space="preserve">：华泰文本称贵州茅台、迎驾贡酒、古井贡酒等承压，并给出白酒净流出</w:t>
      </w:r>
      <w:r>
        <w:t xml:space="preserve"> </w:t>
      </w:r>
      <w:r>
        <w:rPr>
          <w:b/>
        </w:rPr>
        <w:t xml:space="preserve">18.15 亿元</w:t>
      </w:r>
      <w:r>
        <w:t xml:space="preserve">；该金额为华泰单源，未获本地资金榜验证。明日以观察止跌为主，不做左侧抢反弹。</w:t>
      </w:r>
    </w:p>
    <w:p>
      <w:pPr>
        <w:numPr>
          <w:ilvl w:val="0"/>
          <w:numId w:val="1009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影视院线弱势线索</w:t>
      </w:r>
      <w:r>
        <w:t xml:space="preserve">：华泰文本点名北京文化、儒意电影、中国电影、上海电影走弱；本地个股行情与跌停明细不可用，不能确认具体跌幅或跌停状态。</w:t>
      </w:r>
    </w:p>
    <w:p>
      <w:pPr>
        <w:numPr>
          <w:ilvl w:val="0"/>
          <w:numId w:val="1009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其他弱势线索</w:t>
      </w:r>
      <w:r>
        <w:t xml:space="preserve">：游戏、医药商业、煤炭开采加工、VPN、体外诊断被华泰文本列为调整方向，均缺少结构化排名和资金金额。</w:t>
      </w:r>
    </w:p>
    <w:p>
      <w:pPr>
        <w:numPr>
          <w:ilvl w:val="0"/>
          <w:numId w:val="100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风险信号</w:t>
      </w:r>
      <w:r>
        <w:t xml:space="preserve">：成长主线强、传统消费弱，风格分化明显；若明日成长高位股批量回落而消费仍无承接，指数可能由普涨转为高位分歧。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2" w:name="市场情绪综合判断"/>
      <w:r>
        <w:t xml:space="preserve">🎭 市场情绪综合判断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赚钱效应：强。</w:t>
      </w:r>
      <w:r>
        <w:t xml:space="preserve"> </w:t>
      </w:r>
      <w:r>
        <w:t xml:space="preserve">上涨</w:t>
      </w:r>
      <w:r>
        <w:t xml:space="preserve"> </w:t>
      </w:r>
      <w:r>
        <w:rPr>
          <w:b/>
        </w:rPr>
        <w:t xml:space="preserve">4335</w:t>
      </w:r>
      <w:r>
        <w:t xml:space="preserve"> </w:t>
      </w:r>
      <w:r>
        <w:t xml:space="preserve">家、下跌</w:t>
      </w:r>
      <w:r>
        <w:t xml:space="preserve"> </w:t>
      </w:r>
      <w:r>
        <w:rPr>
          <w:b/>
        </w:rPr>
        <w:t xml:space="preserve">1064</w:t>
      </w:r>
      <w:r>
        <w:t xml:space="preserve"> </w:t>
      </w:r>
      <w:r>
        <w:t xml:space="preserve">家，涨停</w:t>
      </w:r>
      <w:r>
        <w:t xml:space="preserve"> </w:t>
      </w:r>
      <w:r>
        <w:rPr>
          <w:b/>
        </w:rPr>
        <w:t xml:space="preserve">110</w:t>
      </w:r>
      <w:r>
        <w:t xml:space="preserve"> </w:t>
      </w:r>
      <w:r>
        <w:t xml:space="preserve">家、跌停</w:t>
      </w:r>
      <w:r>
        <w:t xml:space="preserve"> </w:t>
      </w:r>
      <w:r>
        <w:rPr>
          <w:b/>
        </w:rPr>
        <w:t xml:space="preserve">1</w:t>
      </w:r>
      <w:r>
        <w:t xml:space="preserve"> </w:t>
      </w:r>
      <w:r>
        <w:t xml:space="preserve">家，广度和极端涨跌数量均偏多。</w:t>
      </w:r>
    </w:p>
    <w:p>
      <w:pPr>
        <w:numPr>
          <w:ilvl w:val="0"/>
          <w:numId w:val="1010"/>
        </w:numPr>
        <w:pStyle w:val="Compact"/>
      </w:pPr>
      <w:r>
        <w:t xml:space="preserve">🚀</w:t>
      </w:r>
      <w:r>
        <w:t xml:space="preserve"> </w:t>
      </w:r>
      <w:r>
        <w:rPr>
          <w:b/>
        </w:rPr>
        <w:t xml:space="preserve">市场风格：成长占优。</w:t>
      </w:r>
      <w:r>
        <w:t xml:space="preserve"> </w:t>
      </w:r>
      <w:r>
        <w:t xml:space="preserve">科创 50 涨</w:t>
      </w:r>
      <w:r>
        <w:t xml:space="preserve"> </w:t>
      </w:r>
      <w:r>
        <w:rPr>
          <w:b/>
        </w:rPr>
        <w:t xml:space="preserve">4.14%</w:t>
      </w:r>
      <w:r>
        <w:t xml:space="preserve">、创业板涨</w:t>
      </w:r>
      <w:r>
        <w:t xml:space="preserve"> </w:t>
      </w:r>
      <w:r>
        <w:rPr>
          <w:b/>
        </w:rPr>
        <w:t xml:space="preserve">3.14%</w:t>
      </w:r>
      <w:r>
        <w:t xml:space="preserve">，明显强于上证指数</w:t>
      </w:r>
      <w:r>
        <w:t xml:space="preserve"> </w:t>
      </w:r>
      <w:r>
        <w:rPr>
          <w:b/>
        </w:rPr>
        <w:t xml:space="preserve">1.41%</w:t>
      </w:r>
      <w:r>
        <w:t xml:space="preserve">与沪深 300 的</w:t>
      </w:r>
      <w:r>
        <w:t xml:space="preserve"> </w:t>
      </w:r>
      <w:r>
        <w:rPr>
          <w:b/>
        </w:rPr>
        <w:t xml:space="preserve">1.61%</w:t>
      </w:r>
      <w:r>
        <w:t xml:space="preserve">。</w:t>
      </w:r>
    </w:p>
    <w:p>
      <w:pPr>
        <w:numPr>
          <w:ilvl w:val="0"/>
          <w:numId w:val="1010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量能环境：活跃。</w:t>
      </w:r>
      <w:r>
        <w:t xml:space="preserve"> </w:t>
      </w:r>
      <w:r>
        <w:t xml:space="preserve">全市场成交额</w:t>
      </w:r>
      <w:r>
        <w:t xml:space="preserve"> </w:t>
      </w:r>
      <w:r>
        <w:rPr>
          <w:b/>
        </w:rPr>
        <w:t xml:space="preserve">24025.10 亿元</w:t>
      </w:r>
      <w:r>
        <w:t xml:space="preserve">；因比较口径未核验，只能确认绝对成交活跃，不能使用变化百分比。</w:t>
      </w:r>
    </w:p>
    <w:p>
      <w:pPr>
        <w:numPr>
          <w:ilvl w:val="0"/>
          <w:numId w:val="1010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情绪周期：回暖向偏热过渡。</w:t>
      </w:r>
      <w:r>
        <w:t xml:space="preserve"> </w:t>
      </w:r>
      <w:r>
        <w:t xml:space="preserve">涨停扩散和午后成长加速显示风险偏好上行，但板块资金榜缺失，尚不足以定义为全面过热。</w:t>
      </w:r>
    </w:p>
    <w:p>
      <w:pPr>
        <w:numPr>
          <w:ilvl w:val="0"/>
          <w:numId w:val="101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市场分歧</w:t>
      </w:r>
      <w:r>
        <w:t xml:space="preserve">：科技成长与白酒、影视等弱势线索并存；高位科技股次日若出现一致性加速，获利兑现和监管关注风险上升。</w:t>
      </w:r>
    </w:p>
    <w:p>
      <w:pPr>
        <w:numPr>
          <w:ilvl w:val="0"/>
          <w:numId w:val="1010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降温信号</w:t>
      </w:r>
      <w:r>
        <w:t xml:space="preserve">：科创 50 明显转弱、上涨家数跌至下跌家数之下、涨停股批量开板，或恢复后的资金榜显示科技主线转为净流出。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3" w:name="华泰自选股观察"/>
      <w:r>
        <w:t xml:space="preserve">🧾 华泰自选股观察</w:t>
      </w:r>
      <w:bookmarkEnd w:id="33"/>
    </w:p>
    <w:p>
      <w:pPr>
        <w:pStyle w:val="FirstParagraph"/>
      </w:pPr>
      <w:r>
        <w:t xml:space="preserve">华泰自选股共</w:t>
      </w:r>
      <w:r>
        <w:t xml:space="preserve"> </w:t>
      </w:r>
      <w:r>
        <w:rPr>
          <w:b/>
        </w:rPr>
        <w:t xml:space="preserve">3</w:t>
      </w:r>
      <w:r>
        <w:t xml:space="preserve"> </w:t>
      </w:r>
      <w:r>
        <w:t xml:space="preserve">只，收盘行情全部取得，但均为华泰单源；本地</w:t>
      </w:r>
      <w:r>
        <w:t xml:space="preserve"> 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失败。弘元绿能小幅上涨，风语筑微跌，工商银行平盘，三者均没有与当日半导体/CPO 成长线形成明显共振，整体应</w:t>
      </w:r>
      <w:r>
        <w:rPr>
          <w:b/>
        </w:rPr>
        <w:t xml:space="preserve">以跟踪为主、暂不作为主攻方向</w:t>
      </w:r>
      <w:r>
        <w:t xml:space="preserve">。</w:t>
      </w:r>
    </w:p>
    <w:p>
      <w:pPr>
        <w:numPr>
          <w:ilvl w:val="0"/>
          <w:numId w:val="101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603185 弘元绿能</w:t>
      </w:r>
      <w:r>
        <w:t xml:space="preserve">：最新价</w:t>
      </w:r>
      <w:r>
        <w:t xml:space="preserve"> </w:t>
      </w:r>
      <w:r>
        <w:rPr>
          <w:b/>
        </w:rPr>
        <w:t xml:space="preserve">17.22 元</w:t>
      </w:r>
      <w:r>
        <w:t xml:space="preserve">，涨</w:t>
      </w:r>
      <w:r>
        <w:t xml:space="preserve"> </w:t>
      </w:r>
      <w:r>
        <w:rPr>
          <w:b/>
        </w:rPr>
        <w:t xml:space="preserve">1.29%</w:t>
      </w:r>
      <w:r>
        <w:t xml:space="preserve">，前收 17.00 元。所属光伏硅片/光伏制造，与当日科技硬件主线不直接共振；午间 17.18 元，午后小幅走强。判断：</w:t>
      </w:r>
      <w:r>
        <w:rPr>
          <w:b/>
        </w:rPr>
        <w:t xml:space="preserve">继续观察、可低吸跟踪但不追高</w:t>
      </w:r>
      <w:r>
        <w:t xml:space="preserve">；只有光伏板块资金转强、个股放量且站稳 17.22 元，才提高关注。</w:t>
      </w:r>
    </w:p>
    <w:p>
      <w:pPr>
        <w:numPr>
          <w:ilvl w:val="0"/>
          <w:numId w:val="1011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603466 风语筑</w:t>
      </w:r>
      <w:r>
        <w:t xml:space="preserve">：最新价</w:t>
      </w:r>
      <w:r>
        <w:t xml:space="preserve"> </w:t>
      </w:r>
      <w:r>
        <w:rPr>
          <w:b/>
        </w:rPr>
        <w:t xml:space="preserve">12.55 元</w:t>
      </w:r>
      <w:r>
        <w:t xml:space="preserve">，跌</w:t>
      </w:r>
      <w:r>
        <w:t xml:space="preserve"> </w:t>
      </w:r>
      <w:r>
        <w:rPr>
          <w:b/>
        </w:rPr>
        <w:t xml:space="preserve">0.16%</w:t>
      </w:r>
      <w:r>
        <w:t xml:space="preserve">，前收 12.57 元。所属数字展示/数字文旅，与半导体/CPO 主线无明显共振；午间 12.49 元，午后有所修复但仍未收复前收。判断：</w:t>
      </w:r>
      <w:r>
        <w:rPr>
          <w:b/>
        </w:rPr>
        <w:t xml:space="preserve">偏弱、反弹减仓观察，不主动追涨</w:t>
      </w:r>
      <w:r>
        <w:t xml:space="preserve">；若后续重新站稳 12.57 元且板块出现资金承接，再转为中性跟踪。</w:t>
      </w:r>
    </w:p>
    <w:p>
      <w:pPr>
        <w:numPr>
          <w:ilvl w:val="0"/>
          <w:numId w:val="1011"/>
        </w:numPr>
        <w:pStyle w:val="Compact"/>
      </w:pPr>
      <w:r>
        <w:t xml:space="preserve">➖</w:t>
      </w:r>
      <w:r>
        <w:t xml:space="preserve"> </w:t>
      </w:r>
      <w:r>
        <w:rPr>
          <w:b/>
        </w:rPr>
        <w:t xml:space="preserve">601398 工商银行</w:t>
      </w:r>
      <w:r>
        <w:t xml:space="preserve">：最新价</w:t>
      </w:r>
      <w:r>
        <w:t xml:space="preserve"> </w:t>
      </w:r>
      <w:r>
        <w:rPr>
          <w:b/>
        </w:rPr>
        <w:t xml:space="preserve">7.56 元</w:t>
      </w:r>
      <w:r>
        <w:t xml:space="preserve">，涨跌</w:t>
      </w:r>
      <w:r>
        <w:t xml:space="preserve"> </w:t>
      </w:r>
      <w:r>
        <w:rPr>
          <w:b/>
        </w:rPr>
        <w:t xml:space="preserve">0.00%</w:t>
      </w:r>
      <w:r>
        <w:t xml:space="preserve">，前收 7.56 元。所属国有大行/红利资产，与成长主线不共振，但有组合防御属性。判断：</w:t>
      </w:r>
      <w:r>
        <w:rPr>
          <w:b/>
        </w:rPr>
        <w:t xml:space="preserve">偏稳健持有、继续观察、不追高</w:t>
      </w:r>
      <w:r>
        <w:t xml:space="preserve">；若银行板块走弱且跌破 7.56 元后不能收回，优先保护已有利润。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4" w:name="用户实盘持仓收盘策略"/>
      <w:r>
        <w:t xml:space="preserve">💼 用户实盘持仓收盘策略</w:t>
      </w:r>
      <w:bookmarkEnd w:id="34"/>
    </w:p>
    <w:p>
      <w:pPr>
        <w:pStyle w:val="BlockText"/>
      </w:pPr>
      <w:r>
        <w:t xml:space="preserve">盈亏按华泰单源收盘价与用户成本计算，未计手续费、税费和分红；农业银行无可确认收盘行情，因此不虚构盈亏和价格触发位。</w:t>
      </w:r>
    </w:p>
    <w:p>
      <w:pPr>
        <w:pStyle w:val="Heading3"/>
      </w:pPr>
      <w:bookmarkStart w:id="35" w:name="弘元绿能300-股成本-26.6669-元"/>
      <w:r>
        <w:t xml:space="preserve">📉 603185 弘元绿能｜300 股｜成本 26.6669 元</w:t>
      </w:r>
      <w:bookmarkEnd w:id="35"/>
    </w:p>
    <w:p>
      <w:pPr>
        <w:numPr>
          <w:ilvl w:val="0"/>
          <w:numId w:val="1012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收盘状态</w:t>
      </w:r>
      <w:r>
        <w:t xml:space="preserve">：17.22 元，账面盈亏</w:t>
      </w:r>
      <w:r>
        <w:t xml:space="preserve"> </w:t>
      </w:r>
      <w:r>
        <w:rPr>
          <w:b/>
        </w:rPr>
        <w:t xml:space="preserve">-35.43%</w:t>
      </w:r>
      <w:r>
        <w:t xml:space="preserve">，浮亏</w:t>
      </w:r>
      <w:r>
        <w:t xml:space="preserve"> </w:t>
      </w:r>
      <w:r>
        <w:rPr>
          <w:b/>
        </w:rPr>
        <w:t xml:space="preserve">2834.07 元</w:t>
      </w:r>
      <w:r>
        <w:t xml:space="preserve">。当日涨 1.29%，但缺少光伏板块资金、日 K 与公告核验，不能据此确认趋势反转。</w:t>
      </w:r>
    </w:p>
    <w:p>
      <w:pPr>
        <w:numPr>
          <w:ilvl w:val="0"/>
          <w:numId w:val="101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明日动作</w:t>
      </w:r>
      <w:r>
        <w:t xml:space="preserve">：</w:t>
      </w:r>
      <w:r>
        <w:rPr>
          <w:b/>
        </w:rPr>
        <w:t xml:space="preserve">持有观察，不无条件补仓</w:t>
      </w:r>
      <w:r>
        <w:t xml:space="preserve">。若能放量站稳 17.22 元且光伏板块出现可确认资金流入，可继续低吸跟踪；否则不加仓。</w:t>
      </w:r>
    </w:p>
    <w:p>
      <w:pPr>
        <w:numPr>
          <w:ilvl w:val="0"/>
          <w:numId w:val="1012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减仓/离场触发</w:t>
      </w:r>
      <w:r>
        <w:t xml:space="preserve">：跌破前收 17.00 元后无法快速收回，且光伏同步走弱；若向当日跌停价 15.30 元方向加速并缺乏承接，强化风险控制。</w:t>
      </w:r>
    </w:p>
    <w:p>
      <w:pPr>
        <w:numPr>
          <w:ilvl w:val="0"/>
          <w:numId w:val="101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失效与风险</w:t>
      </w:r>
      <w:r>
        <w:t xml:space="preserve">：光伏价格压力、业绩不及预期、反弹缩量、板块资金持续流出。回本价不能作为唯一决策依据。</w:t>
      </w:r>
    </w:p>
    <w:p>
      <w:pPr>
        <w:pStyle w:val="Heading3"/>
      </w:pPr>
      <w:bookmarkStart w:id="36" w:name="风语筑700-股成本-13.2159-元"/>
      <w:r>
        <w:t xml:space="preserve">📉 603466 风语筑｜700 股｜成本 13.2159 元</w:t>
      </w:r>
      <w:bookmarkEnd w:id="36"/>
    </w:p>
    <w:p>
      <w:pPr>
        <w:numPr>
          <w:ilvl w:val="0"/>
          <w:numId w:val="1013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收盘状态</w:t>
      </w:r>
      <w:r>
        <w:t xml:space="preserve">：12.55 元，账面盈亏</w:t>
      </w:r>
      <w:r>
        <w:t xml:space="preserve"> </w:t>
      </w:r>
      <w:r>
        <w:rPr>
          <w:b/>
        </w:rPr>
        <w:t xml:space="preserve">-5.04%</w:t>
      </w:r>
      <w:r>
        <w:t xml:space="preserve">，浮亏</w:t>
      </w:r>
      <w:r>
        <w:t xml:space="preserve"> </w:t>
      </w:r>
      <w:r>
        <w:rPr>
          <w:b/>
        </w:rPr>
        <w:t xml:space="preserve">466.13 元</w:t>
      </w:r>
      <w:r>
        <w:t xml:space="preserve">；收盘仍低于前收 12.57 元，与当日成长主线不共振。</w:t>
      </w:r>
    </w:p>
    <w:p>
      <w:pPr>
        <w:numPr>
          <w:ilvl w:val="0"/>
          <w:numId w:val="1013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明日动作</w:t>
      </w:r>
      <w:r>
        <w:t xml:space="preserve">：</w:t>
      </w:r>
      <w:r>
        <w:rPr>
          <w:b/>
        </w:rPr>
        <w:t xml:space="preserve">反弹减仓观察</w:t>
      </w:r>
      <w:r>
        <w:t xml:space="preserve">。若重新站稳 12.57 元且数字文旅出现资金和成交共振，可暂缓减仓；否则不补仓摊薄。</w:t>
      </w:r>
    </w:p>
    <w:p>
      <w:pPr>
        <w:numPr>
          <w:ilvl w:val="0"/>
          <w:numId w:val="1013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减仓/离场触发</w:t>
      </w:r>
      <w:r>
        <w:t xml:space="preserve">：反弹不能收复 12.57 元后再度走弱；若向 11.31 元跌停价方向加速且无承接，执行更强离场预案。</w:t>
      </w:r>
    </w:p>
    <w:p>
      <w:pPr>
        <w:numPr>
          <w:ilvl w:val="0"/>
          <w:numId w:val="1013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失效与风险</w:t>
      </w:r>
      <w:r>
        <w:t xml:space="preserve">：板块非主线、单源行情、公告未核验及大跌后流动性风险。</w:t>
      </w:r>
    </w:p>
    <w:p>
      <w:pPr>
        <w:pStyle w:val="Heading3"/>
      </w:pPr>
      <w:bookmarkStart w:id="37" w:name="工商银行1900-股成本-7.0601-元"/>
      <w:r>
        <w:t xml:space="preserve">📈 601398 工商银行｜1900 股｜成本 7.0601 元</w:t>
      </w:r>
      <w:bookmarkEnd w:id="37"/>
    </w:p>
    <w:p>
      <w:pPr>
        <w:numPr>
          <w:ilvl w:val="0"/>
          <w:numId w:val="1014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收盘状态</w:t>
      </w:r>
      <w:r>
        <w:t xml:space="preserve">：7.56 元，账面盈亏</w:t>
      </w:r>
      <w:r>
        <w:t xml:space="preserve"> </w:t>
      </w:r>
      <w:r>
        <w:rPr>
          <w:b/>
        </w:rPr>
        <w:t xml:space="preserve">+7.08%</w:t>
      </w:r>
      <w:r>
        <w:t xml:space="preserve">，浮盈</w:t>
      </w:r>
      <w:r>
        <w:t xml:space="preserve"> </w:t>
      </w:r>
      <w:r>
        <w:rPr>
          <w:b/>
        </w:rPr>
        <w:t xml:space="preserve">949.81 元</w:t>
      </w:r>
      <w:r>
        <w:t xml:space="preserve">；当日平盘，具防御属性但明显弱于成长指数。</w:t>
      </w:r>
    </w:p>
    <w:p>
      <w:pPr>
        <w:numPr>
          <w:ilvl w:val="0"/>
          <w:numId w:val="1014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明日动作</w:t>
      </w:r>
      <w:r>
        <w:t xml:space="preserve">：</w:t>
      </w:r>
      <w:r>
        <w:rPr>
          <w:b/>
        </w:rPr>
        <w:t xml:space="preserve">稳健持有、不追高</w:t>
      </w:r>
      <w:r>
        <w:t xml:space="preserve">，仍是已有可核价持仓中最稳健的标的。</w:t>
      </w:r>
    </w:p>
    <w:p>
      <w:pPr>
        <w:numPr>
          <w:ilvl w:val="0"/>
          <w:numId w:val="1014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减仓/保护利润触发</w:t>
      </w:r>
      <w:r>
        <w:t xml:space="preserve">：跌破 7.56 元且银行板块同步转弱；若出现异常放量下行，优先保护已有利润。</w:t>
      </w:r>
    </w:p>
    <w:p>
      <w:pPr>
        <w:numPr>
          <w:ilvl w:val="0"/>
          <w:numId w:val="101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条件加仓触发</w:t>
      </w:r>
      <w:r>
        <w:t xml:space="preserve">：只有站稳 7.56 元、银行板块出现可确认资金流入且红利风格转强时，才允许小比例增加。</w:t>
      </w:r>
    </w:p>
    <w:p>
      <w:pPr>
        <w:numPr>
          <w:ilvl w:val="0"/>
          <w:numId w:val="1014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失效与风险</w:t>
      </w:r>
      <w:r>
        <w:t xml:space="preserve">：净息差压力、红利交易拥挤、利率预期变化与成长风格持续虹吸。</w:t>
      </w:r>
    </w:p>
    <w:p>
      <w:pPr>
        <w:pStyle w:val="Heading3"/>
      </w:pPr>
      <w:bookmarkStart w:id="38" w:name="农业银行5300-股成本-6.4244-元"/>
      <w:r>
        <w:t xml:space="preserve">⚠️ 601288 农业银行｜5300 股｜成本 6.4244 元</w:t>
      </w:r>
      <w:bookmarkEnd w:id="38"/>
    </w:p>
    <w:p>
      <w:pPr>
        <w:numPr>
          <w:ilvl w:val="0"/>
          <w:numId w:val="1015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收盘状态</w:t>
      </w:r>
      <w:r>
        <w:t xml:space="preserve">：采集 JSON 未提供最新价、涨跌幅、前收或多源校验，账面盈亏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明日动作</w:t>
      </w:r>
      <w:r>
        <w:t xml:space="preserve">：</w:t>
      </w:r>
      <w:r>
        <w:rPr>
          <w:b/>
        </w:rPr>
        <w:t xml:space="preserve">先核价、持有观察、禁止盲目加仓</w:t>
      </w:r>
      <w:r>
        <w:t xml:space="preserve">；开盘前用券商终端确认收盘价、公告及除权分红信息。</w:t>
      </w:r>
    </w:p>
    <w:p>
      <w:pPr>
        <w:numPr>
          <w:ilvl w:val="0"/>
          <w:numId w:val="1015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减仓条件</w:t>
      </w:r>
      <w:r>
        <w:t xml:space="preserve">：确认行情后，若跌破上一交易日低点且银行板块放量走弱，执行减仓；若出现重大利空公告，优先离场观察。</w:t>
      </w:r>
    </w:p>
    <w:p>
      <w:pPr>
        <w:numPr>
          <w:ilvl w:val="0"/>
          <w:numId w:val="1015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条件加仓</w:t>
      </w:r>
      <w:r>
        <w:t xml:space="preserve">：仅在个股站稳前收、银行板块资金净流入且量价改善时小比例执行。</w:t>
      </w:r>
    </w:p>
    <w:p>
      <w:pPr>
        <w:numPr>
          <w:ilvl w:val="0"/>
          <w:numId w:val="101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风险</w:t>
      </w:r>
      <w:r>
        <w:t xml:space="preserve">：行情缺失、净息差压力、红利拥挤和权重板块调整。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明日投资方向排序"/>
      <w:r>
        <w:t xml:space="preserve">🎯 明日投资方向排序</w:t>
      </w:r>
      <w:bookmarkEnd w:id="39"/>
    </w:p>
    <w:p>
      <w:pPr>
        <w:pStyle w:val="Heading3"/>
      </w:pPr>
      <w:bookmarkStart w:id="40" w:name="方向一半导体存储芯片先进封装电子化学品优先级高条件参与"/>
      <w:r>
        <w:t xml:space="preserve">🚀 方向一：半导体—存储芯片/先进封装/电子化学品（优先级：高，条件参与）</w:t>
      </w:r>
      <w:bookmarkEnd w:id="40"/>
    </w:p>
    <w:p>
      <w:pPr>
        <w:numPr>
          <w:ilvl w:val="0"/>
          <w:numId w:val="1016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：科创 50 涨</w:t>
      </w:r>
      <w:r>
        <w:t xml:space="preserve"> </w:t>
      </w:r>
      <w:r>
        <w:rPr>
          <w:b/>
        </w:rPr>
        <w:t xml:space="preserve">4.14%</w:t>
      </w:r>
      <w:r>
        <w:t xml:space="preserve">、创业板涨</w:t>
      </w:r>
      <w:r>
        <w:t xml:space="preserve"> </w:t>
      </w:r>
      <w:r>
        <w:rPr>
          <w:b/>
        </w:rPr>
        <w:t xml:space="preserve">3.14%</w:t>
      </w:r>
      <w:r>
        <w:t xml:space="preserve">；上涨</w:t>
      </w:r>
      <w:r>
        <w:t xml:space="preserve"> </w:t>
      </w:r>
      <w:r>
        <w:rPr>
          <w:b/>
        </w:rPr>
        <w:t xml:space="preserve">4335</w:t>
      </w:r>
      <w:r>
        <w:t xml:space="preserve"> </w:t>
      </w:r>
      <w:r>
        <w:t xml:space="preserve">家、涨停</w:t>
      </w:r>
      <w:r>
        <w:t xml:space="preserve"> </w:t>
      </w:r>
      <w:r>
        <w:rPr>
          <w:b/>
        </w:rPr>
        <w:t xml:space="preserve">110</w:t>
      </w:r>
      <w:r>
        <w:t xml:space="preserve"> </w:t>
      </w:r>
      <w:r>
        <w:t xml:space="preserve">家；全市场成交额</w:t>
      </w:r>
      <w:r>
        <w:t xml:space="preserve"> </w:t>
      </w:r>
      <w:r>
        <w:rPr>
          <w:b/>
        </w:rPr>
        <w:t xml:space="preserve">24025.10 亿元</w:t>
      </w:r>
      <w:r>
        <w:t xml:space="preserve">；华泰文本同时指向半导体、存储、先进封装和电子化学品。板块正式涨幅和本地资金榜缺失，故</w:t>
      </w:r>
      <w:r>
        <w:t xml:space="preserve">“</w:t>
      </w:r>
      <w:r>
        <w:t xml:space="preserve">高优先级</w:t>
      </w:r>
      <w:r>
        <w:t xml:space="preserve">”</w:t>
      </w:r>
      <w:r>
        <w:t xml:space="preserve">仍需明日盘中验证。</w:t>
      </w:r>
    </w:p>
    <w:p>
      <w:pPr>
        <w:numPr>
          <w:ilvl w:val="0"/>
          <w:numId w:val="1016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：聚和材料（华泰单源涨 20.01%，材料方向高辨识度）、天准科技（华泰单源涨 20.00%，科创成长样本）、通富微电/有研新材（华泰文本活跃线索，具体行情未获多源校验）。</w:t>
      </w:r>
    </w:p>
    <w:p>
      <w:pPr>
        <w:numPr>
          <w:ilvl w:val="0"/>
          <w:numId w:val="1016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：激进仓只做分歧回踩后的承接；稳健仓等板块资金榜恢复并确认净流入；保守仓等待高位股分化后选择业绩和订单可验证标的。</w:t>
      </w:r>
    </w:p>
    <w:p>
      <w:pPr>
        <w:numPr>
          <w:ilvl w:val="0"/>
          <w:numId w:val="1016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：科创 50 继续相对强势、板块成交不显著萎缩、核心股不批量炸板，且恢复后的资金榜确认净流入。</w:t>
      </w:r>
    </w:p>
    <w:p>
      <w:pPr>
        <w:numPr>
          <w:ilvl w:val="0"/>
          <w:numId w:val="1016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：主力净流入转为净流出、龙头跌破开盘价后不能收回、涨停扩散失败或科创 50 与创业板共振下跌。</w:t>
      </w:r>
    </w:p>
    <w:p>
      <w:pPr>
        <w:numPr>
          <w:ilvl w:val="0"/>
          <w:numId w:val="101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：一致性过强后的高位兑现、中报业绩、监管关注及华泰单源个股线索偏差。</w:t>
      </w:r>
    </w:p>
    <w:p>
      <w:pPr>
        <w:pStyle w:val="Heading3"/>
      </w:pPr>
      <w:bookmarkStart w:id="41" w:name="方向二ai-算力硬件cpo光通信优先级中高"/>
      <w:r>
        <w:t xml:space="preserve">🚀 方向二：AI 算力硬件—CPO/光通信（优先级：中高）</w:t>
      </w:r>
      <w:bookmarkEnd w:id="41"/>
    </w:p>
    <w:p>
      <w:pPr>
        <w:numPr>
          <w:ilvl w:val="0"/>
          <w:numId w:val="1017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：成长指数全天加速；午后创业板涨幅增加</w:t>
      </w:r>
      <w:r>
        <w:t xml:space="preserve"> </w:t>
      </w:r>
      <w:r>
        <w:rPr>
          <w:b/>
        </w:rPr>
        <w:t xml:space="preserve">1.81 个百分点</w:t>
      </w:r>
      <w:r>
        <w:t xml:space="preserve">；涨停数由午间</w:t>
      </w:r>
      <w:r>
        <w:t xml:space="preserve"> </w:t>
      </w:r>
      <w:r>
        <w:rPr>
          <w:b/>
        </w:rPr>
        <w:t xml:space="preserve">80</w:t>
      </w:r>
      <w:r>
        <w:t xml:space="preserve"> </w:t>
      </w:r>
      <w:r>
        <w:t xml:space="preserve">增至</w:t>
      </w:r>
      <w:r>
        <w:t xml:space="preserve"> </w:t>
      </w:r>
      <w:r>
        <w:rPr>
          <w:b/>
        </w:rPr>
        <w:t xml:space="preserve">110</w:t>
      </w:r>
      <w:r>
        <w:t xml:space="preserve">；华泰文本指向 CPO/光通信并点名太辰光、共进股份、中石科技等。资金金额与封板状态未获本地结构化校验。</w:t>
      </w:r>
    </w:p>
    <w:p>
      <w:pPr>
        <w:numPr>
          <w:ilvl w:val="0"/>
          <w:numId w:val="1017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：太辰光（华泰选股单源 193.80 元、涨 20.00%）、中石科技、共进股份（均为华泰文本辨识度线索，具体连板状态未核验）。</w:t>
      </w:r>
    </w:p>
    <w:p>
      <w:pPr>
        <w:numPr>
          <w:ilvl w:val="0"/>
          <w:numId w:val="1017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：激进不追一字或秒板，等换手分歧；稳健关注龙头回踩承接及板块扩散；保守等待资金与个股多源行情恢复。</w:t>
      </w:r>
    </w:p>
    <w:p>
      <w:pPr>
        <w:numPr>
          <w:ilvl w:val="0"/>
          <w:numId w:val="1017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：太辰光等高辨识度样本不出现大幅低开、板块资金持续流入、光通信与半导体形成正向联动。</w:t>
      </w:r>
    </w:p>
    <w:p>
      <w:pPr>
        <w:numPr>
          <w:ilvl w:val="0"/>
          <w:numId w:val="1017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：高位核心批量低开、板块净流出、龙头放量跌破开盘价或涨停梯队断层。</w:t>
      </w:r>
    </w:p>
    <w:p>
      <w:pPr>
        <w:numPr>
          <w:ilvl w:val="0"/>
          <w:numId w:val="101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：短线拥挤、事件兑现、估值波动和成长内部快速轮动。</w:t>
      </w:r>
    </w:p>
    <w:p>
      <w:pPr>
        <w:pStyle w:val="Heading3"/>
      </w:pPr>
      <w:bookmarkStart w:id="42" w:name="方向三农业种植种业粮食优先级观察"/>
      <w:r>
        <w:t xml:space="preserve">🌾 方向三：农业种植—种业/粮食（优先级：观察）</w:t>
      </w:r>
      <w:bookmarkEnd w:id="42"/>
    </w:p>
    <w:p>
      <w:pPr>
        <w:numPr>
          <w:ilvl w:val="0"/>
          <w:numId w:val="1018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：华泰收盘文本提到粮食概念活跃，并点名多只种业和粮食股；同花顺显示全市场涨停</w:t>
      </w:r>
      <w:r>
        <w:t xml:space="preserve"> </w:t>
      </w:r>
      <w:r>
        <w:rPr>
          <w:b/>
        </w:rPr>
        <w:t xml:space="preserve">110</w:t>
      </w:r>
      <w:r>
        <w:t xml:space="preserve"> </w:t>
      </w:r>
      <w:r>
        <w:t xml:space="preserve">家，为事件题材扩散提供情绪环境；但结构化板块涨幅、资金流和涨停样本均缺失，证据链置信度低于科技。</w:t>
      </w:r>
    </w:p>
    <w:p>
      <w:pPr>
        <w:numPr>
          <w:ilvl w:val="0"/>
          <w:numId w:val="1018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：神农种业、农发种业、京粮控股、金健米业，均仅为华泰单源观察线索，不据此直接追高。</w:t>
      </w:r>
    </w:p>
    <w:p>
      <w:pPr>
        <w:numPr>
          <w:ilvl w:val="0"/>
          <w:numId w:val="1018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：激进只看分歧回封；稳健等待资金榜和至少两只核心股持续强势；保守不参与事件型脉冲。</w:t>
      </w:r>
    </w:p>
    <w:p>
      <w:pPr>
        <w:numPr>
          <w:ilvl w:val="0"/>
          <w:numId w:val="1018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：板块资金净流入、成交扩散、核心股换手后保持强势，并有后续可核验政策或供需信息。</w:t>
      </w:r>
    </w:p>
    <w:p>
      <w:pPr>
        <w:numPr>
          <w:ilvl w:val="0"/>
          <w:numId w:val="1018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：高开低走、龙头开板无回封、板块涨停扩散失败或事件催化被证伪。</w:t>
      </w:r>
    </w:p>
    <w:p>
      <w:pPr>
        <w:numPr>
          <w:ilvl w:val="0"/>
          <w:numId w:val="101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：事件持续性不足、高换手兑现和单源信息误差。</w:t>
      </w:r>
    </w:p>
    <w:p>
      <w:pPr>
        <w:pStyle w:val="Heading3"/>
      </w:pPr>
      <w:bookmarkStart w:id="43" w:name="方向四国有大行高股息防御优先级观察对冲"/>
      <w:r>
        <w:t xml:space="preserve">🏦 方向四：国有大行—高股息防御（优先级：观察/对冲）</w:t>
      </w:r>
      <w:bookmarkEnd w:id="43"/>
    </w:p>
    <w:p>
      <w:pPr>
        <w:numPr>
          <w:ilvl w:val="0"/>
          <w:numId w:val="1019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：工商银行收于</w:t>
      </w:r>
      <w:r>
        <w:t xml:space="preserve"> </w:t>
      </w:r>
      <w:r>
        <w:rPr>
          <w:b/>
        </w:rPr>
        <w:t xml:space="preserve">7.56 元、平盘</w:t>
      </w:r>
      <w:r>
        <w:t xml:space="preserve">，明显弱于成长指数但保持稳定；用户组合中具防御属性；当日成长风格占优，红利并非主攻方向。银行板块资金和农业银行行情均未核验。</w:t>
      </w:r>
    </w:p>
    <w:p>
      <w:pPr>
        <w:numPr>
          <w:ilvl w:val="0"/>
          <w:numId w:val="1019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：工商银行（已取得华泰单源收盘价）、农业银行（用户持仓，但行情未核验）。</w:t>
      </w:r>
    </w:p>
    <w:p>
      <w:pPr>
        <w:numPr>
          <w:ilvl w:val="0"/>
          <w:numId w:val="101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：作为组合稳定器而非进攻主线；已有仓稳健持有，新仓只在银行资金回流后小比例参与。</w:t>
      </w:r>
    </w:p>
    <w:p>
      <w:pPr>
        <w:numPr>
          <w:ilvl w:val="0"/>
          <w:numId w:val="1019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：银行板块获得可确认净流入、工商银行站稳 7.56 元、成长方向出现分歧时红利相对走强。</w:t>
      </w:r>
    </w:p>
    <w:p>
      <w:pPr>
        <w:numPr>
          <w:ilvl w:val="0"/>
          <w:numId w:val="1019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：银行板块放量下跌、工商银行跌破 7.56 元后不能收回，或重大基本面利空出现。</w:t>
      </w:r>
    </w:p>
    <w:p>
      <w:pPr>
        <w:numPr>
          <w:ilvl w:val="0"/>
          <w:numId w:val="101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：净息差压力、红利拥挤和市场风险偏好继续向成长集中。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4" w:name="明日展望与操作建议"/>
      <w:r>
        <w:t xml:space="preserve">🎯 明日展望与操作建议</w:t>
      </w:r>
      <w:bookmarkEnd w:id="44"/>
    </w:p>
    <w:p>
      <w:pPr>
        <w:numPr>
          <w:ilvl w:val="0"/>
          <w:numId w:val="1020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基础判断</w:t>
      </w:r>
      <w:r>
        <w:t xml:space="preserve">：偏强后的分化日预案。今日指数、广度和涨停数量共同偏强，但科技一致性较高，明日不宜用今日涨幅简单外推。</w:t>
      </w:r>
    </w:p>
    <w:p>
      <w:pPr>
        <w:numPr>
          <w:ilvl w:val="0"/>
          <w:numId w:val="1020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激进型</w:t>
      </w:r>
      <w:r>
        <w:t xml:space="preserve">：总仓位上限</w:t>
      </w:r>
      <w:r>
        <w:t xml:space="preserve"> </w:t>
      </w:r>
      <w:r>
        <w:rPr>
          <w:b/>
        </w:rPr>
        <w:t xml:space="preserve">80%</w:t>
      </w:r>
      <w:r>
        <w:t xml:space="preserve">；优先半导体/先进封装、CPO 的分歧承接，至少保留 20%现金；不追开盘加速。</w:t>
      </w:r>
    </w:p>
    <w:p>
      <w:pPr>
        <w:numPr>
          <w:ilvl w:val="0"/>
          <w:numId w:val="1020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稳健型</w:t>
      </w:r>
      <w:r>
        <w:t xml:space="preserve">：总仓位</w:t>
      </w:r>
      <w:r>
        <w:t xml:space="preserve"> </w:t>
      </w:r>
      <w:r>
        <w:rPr>
          <w:b/>
        </w:rPr>
        <w:t xml:space="preserve">65%</w:t>
      </w:r>
      <w:r>
        <w:t xml:space="preserve">；等待结构化资金榜恢复、科技主线不批量炸板后再加仓；工商银行可继续承担防御仓功能。</w:t>
      </w:r>
    </w:p>
    <w:p>
      <w:pPr>
        <w:numPr>
          <w:ilvl w:val="0"/>
          <w:numId w:val="1020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保守型</w:t>
      </w:r>
      <w:r>
        <w:t xml:space="preserve">：总仓位</w:t>
      </w:r>
      <w:r>
        <w:t xml:space="preserve"> </w:t>
      </w:r>
      <w:r>
        <w:rPr>
          <w:b/>
        </w:rPr>
        <w:t xml:space="preserve">50%</w:t>
      </w:r>
      <w:r>
        <w:t xml:space="preserve">；以已确认的防御仓和现金为主，农业等事件方向只观察。</w:t>
      </w:r>
    </w:p>
    <w:p>
      <w:pPr>
        <w:numPr>
          <w:ilvl w:val="0"/>
          <w:numId w:val="1020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加仓总触发</w:t>
      </w:r>
      <w:r>
        <w:t xml:space="preserve">：科创 50/创业板不共振转弱、上涨家数继续占优、主线核心出现换手承接、恢复后的资金榜确认流入。</w:t>
      </w:r>
    </w:p>
    <w:p>
      <w:pPr>
        <w:numPr>
          <w:ilvl w:val="0"/>
          <w:numId w:val="1020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减仓总触发</w:t>
      </w:r>
      <w:r>
        <w:t xml:space="preserve">：科创 50 快速回落、下跌家数反超上涨家数、涨停股批量开板，或科技资金由流入转流出。</w:t>
      </w:r>
    </w:p>
    <w:p>
      <w:pPr>
        <w:numPr>
          <w:ilvl w:val="0"/>
          <w:numId w:val="102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核心风险</w:t>
      </w:r>
      <w:r>
        <w:t xml:space="preserve">：资金 TOP10 和板块正式榜单缺失、高位成长兑现、中报业绩不及预期、监管关注、事件催化落空。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5" w:name="数据质量声明"/>
      <w:r>
        <w:t xml:space="preserve">⚠️ 数据质量声明</w:t>
      </w:r>
      <w:bookmarkEnd w:id="45"/>
    </w:p>
    <w:p>
      <w:pPr>
        <w:numPr>
          <w:ilvl w:val="0"/>
          <w:numId w:val="1021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交叉验证</w:t>
      </w:r>
      <w:r>
        <w:t xml:space="preserve">：上证指数、深证成指、创业板指、科创 50、沪深 300 的点位和涨跌幅由新浪、东方财富、腾讯三源核验，未发现明显冲突。</w:t>
      </w:r>
    </w:p>
    <w:p>
      <w:pPr>
        <w:numPr>
          <w:ilvl w:val="0"/>
          <w:numId w:val="102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单源可用</w:t>
      </w:r>
      <w:r>
        <w:t xml:space="preserve">：市场广度与涨跌停总数来自同花顺；全市场成交额</w:t>
      </w:r>
      <w:r>
        <w:t xml:space="preserve"> </w:t>
      </w:r>
      <w:r>
        <w:rPr>
          <w:b/>
        </w:rPr>
        <w:t xml:space="preserve">24025.10 亿元</w:t>
      </w:r>
      <w:r>
        <w:t xml:space="preserve">来自同花顺；华泰 3 只自选股行情完整但未获本地三源校验。</w:t>
      </w:r>
    </w:p>
    <w:p>
      <w:pPr>
        <w:numPr>
          <w:ilvl w:val="0"/>
          <w:numId w:val="1021"/>
        </w:numPr>
        <w:pStyle w:val="Compact"/>
      </w:pPr>
      <w:r>
        <w:t xml:space="preserve">❌</w:t>
      </w:r>
      <w:r>
        <w:t xml:space="preserve"> </w:t>
      </w:r>
      <w:r>
        <w:rPr>
          <w:b/>
        </w:rPr>
        <w:t xml:space="preserve">未核验</w:t>
      </w:r>
      <w:r>
        <w:t xml:space="preserve">：资金流入 TOP10、资金流出 TOP10、领涨板块 TOP10、领跌板块 TOP5、TOP20 龙头明细、板块成交额、涨跌停个股明细、沪深 300 ETF 净申购方向。</w:t>
      </w:r>
    </w:p>
    <w:p>
      <w:pPr>
        <w:numPr>
          <w:ilvl w:val="0"/>
          <w:numId w:val="1021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不采用</w:t>
      </w:r>
      <w:r>
        <w:t xml:space="preserve">：成交额变化百分比，原因是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；不把华泰文本的资金数值静默替代本地结构化榜单。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生成时间：2026-08-17 15:15（北京时间，Asia/Shanghai）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2026-08-17T07:22:35Z</dcterms:created>
  <dcterms:modified xsi:type="dcterms:W3CDTF">2026-08-17T07:22:35Z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