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3周四"/>
      <w:r>
        <w:t xml:space="preserve">🕐 午盘总结 | 2026-08-13（周四）</w:t>
      </w:r>
      <w:bookmarkEnd w:id="20"/>
    </w:p>
    <w:p>
      <w:pPr>
        <w:pStyle w:val="BlockText"/>
      </w:pPr>
      <w:r>
        <w:t xml:space="preserve">📊 数据说明：本报告仅使用 2026-08-13 11:45 采集 JSON、其中华泰补充信息及已落盘的当日盘前简报。关键源覆盖 3/7（42.86%）：指数经新浪、东方财富、腾讯三源交叉验证；市场广度、全市场成交额为同花顺单源。东方财富资金流、板块表现、活跃个股、涨跌停样本及核心个股多源校验均因 HTTP 502 失败，相关榜单与个股结论严格降级。华泰文本仅作补充单源，不能替代缺失的本地结构化榜单。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 上证指数 3963.1521 点，涨 0.4175%；深证成指 14519.968 点，涨 0.7322%；创业板指 3660.252 点，涨 1.6149%。三项指数均获新浪、东方财富、腾讯交叉验证。</w:t>
      </w:r>
    </w:p>
    <w:p>
      <w:pPr>
        <w:numPr>
          <w:ilvl w:val="0"/>
          <w:numId w:val="1001"/>
        </w:numPr>
        <w:pStyle w:val="Compact"/>
      </w:pPr>
      <w:r>
        <w:t xml:space="preserve">🚀 科创50报 1770.0256 点，涨 1.9018%，强于沪深300的 0.4933%，科技成长风格明显占优。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同花顺单源确认全市场半日累计成交额 15997.38 亿元，预测全天成交额 24919.95 亿元；</w:t>
      </w:r>
      <w:r>
        <w:rPr>
          <w:rStyle w:val="VerbatimChar"/>
        </w:rPr>
        <w:t xml:space="preserve">turnover_comparison_scope=unverified</w:t>
      </w:r>
      <w:r>
        <w:t xml:space="preserve">，因此不引用</w:t>
      </w:r>
      <w:r>
        <w:t xml:space="preserve">“</w:t>
      </w:r>
      <w:r>
        <w:t xml:space="preserve">较昨日</w:t>
      </w:r>
      <w:r>
        <w:t xml:space="preserve">”</w:t>
      </w:r>
      <w:r>
        <w:t xml:space="preserve">金额或变化百分比，也不把预测额视为已实现成交额。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2287 家、下跌 3095 家、平盘 158 家、停牌 3 家；上涨家数占全部样本 41.26%，下跌家数占 55.83%。</w:t>
      </w:r>
    </w:p>
    <w:p>
      <w:pPr>
        <w:numPr>
          <w:ilvl w:val="0"/>
          <w:numId w:val="1001"/>
        </w:numPr>
        <w:pStyle w:val="Compact"/>
      </w:pPr>
      <w:r>
        <w:t xml:space="preserve">🔴 涨停 56 家、跌停 0 家；但东方财富涨跌停样本失败，无法核验封板率、连板结构及具体涨停名单。</w:t>
      </w:r>
    </w:p>
    <w:p>
      <w:pPr>
        <w:numPr>
          <w:ilvl w:val="0"/>
          <w:numId w:val="1001"/>
        </w:numPr>
        <w:pStyle w:val="Compact"/>
      </w:pPr>
      <w:r>
        <w:t xml:space="preserve">🎭 一句话盘面：指数全红、双创领涨，但下跌家数多于上涨家数，属于</w:t>
      </w:r>
      <w:r>
        <w:t xml:space="preserve">“</w:t>
      </w:r>
      <w:r>
        <w:t xml:space="preserve">成长指数强、个股分化重</w:t>
      </w:r>
      <w:r>
        <w:t xml:space="preserve">”</w:t>
      </w:r>
      <w:r>
        <w:t xml:space="preserve">的结构行情。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领涨板块 TOP10 未核验</w:t>
      </w:r>
      <w:r>
        <w:t xml:space="preserve">：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因 HTTP 502 返回失败，采集 JSON 没有完整、结构化的真实 TOP10 排名，禁止用华泰文字描述拼成榜单。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板块主力净流入排名未完成本地核验</w:t>
      </w:r>
      <w:r>
        <w:t xml:space="preserve">：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同样失败，不能把华泰文本中的少数方向金额写成完整排名。</w:t>
      </w:r>
    </w:p>
    <w:p>
      <w:pPr>
        <w:pStyle w:val="Heading3"/>
      </w:pPr>
      <w:bookmarkStart w:id="23" w:name="可确认的华泰单源强势线索"/>
      <w:r>
        <w:t xml:space="preserve">📈 可确认的华泰单源强势线索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💻 CPO/光通信：华泰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称半日主力净流入 70.70 亿元；天孚通信盘中涨超 13%，共进股份、天洋新材涨停，德科立、炬光科技跟涨。以上板块资金与个股状态均为华泰单源，未获本地结构化源复核。</w:t>
      </w:r>
    </w:p>
    <w:p>
      <w:pPr>
        <w:numPr>
          <w:ilvl w:val="0"/>
          <w:numId w:val="1003"/>
        </w:numPr>
        <w:pStyle w:val="Compact"/>
      </w:pPr>
      <w:r>
        <w:t xml:space="preserve">💊 医疗服务/CRO/创新药：华泰单源称创新药赛道净流入 55.57 亿元；博济医药 14.45 元、涨 20.02%，万邦医药 88.68 元、涨 20.00%，陇神戎发 18.92 元、涨 19.97%，价格与涨幅来自华泰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🧠 先进封装/半导体：华泰单源称先进封装净流入 49.28 亿元，并提及沐曦股份涨 9.01%、源杰科技涨 8.26%、华虹宏力涨 6.37%；本地个股多源校验缺失，午后只作方向观察。</w:t>
      </w:r>
    </w:p>
    <w:p>
      <w:pPr>
        <w:numPr>
          <w:ilvl w:val="0"/>
          <w:numId w:val="1003"/>
        </w:numPr>
        <w:pStyle w:val="Compact"/>
      </w:pPr>
      <w:r>
        <w:t xml:space="preserve">🖥️ 算力租赁：华泰单源提及城地香江 3 连板、利通电子和群兴玩具涨停；具体封板和连板状态未获东方财富样本复核。</w:t>
      </w:r>
    </w:p>
    <w:p>
      <w:pPr>
        <w:numPr>
          <w:ilvl w:val="0"/>
          <w:numId w:val="1003"/>
        </w:numPr>
        <w:pStyle w:val="Compact"/>
      </w:pPr>
      <w:r>
        <w:t xml:space="preserve">🍶 食品饮料：华泰单源提及皇氏集团、一鸣食品 4 连板；缺少板块资金与成交额验证，不列入下午主攻方向。</w:t>
      </w:r>
    </w:p>
    <w:p>
      <w:pPr>
        <w:pStyle w:val="FirstParagraph"/>
      </w:pPr>
      <w:r>
        <w:t xml:space="preserve">💡 午后观察重点：不是继续追逐涨幅榜，而是确认 CPO、创新药、先进封装能否维持资金与成交扩散；若只有少数高位股强势而板块不扩散，应按分化处理。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"/>
      <w:r>
        <w:t xml:space="preserve">💰 资金流向</w:t>
      </w:r>
      <w:bookmarkEnd w:id="24"/>
    </w:p>
    <w:p>
      <w:pPr>
        <w:pStyle w:val="Heading3"/>
      </w:pPr>
      <w:bookmarkStart w:id="25" w:name="主力净流入-top10"/>
      <w:r>
        <w:t xml:space="preserve">📈 主力净流入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未核验，无法列出真实 TOP10</w:t>
      </w:r>
      <w:r>
        <w:t xml:space="preserve">。</w:t>
      </w:r>
      <w:r>
        <w:rPr>
          <w:rStyle w:val="VerbatimChar"/>
        </w:rPr>
        <w:t xml:space="preserve">sources.money_flow.ok=false</w:t>
      </w:r>
      <w:r>
        <w:t xml:space="preserve">，错误为东方财富 HTTP 502，采集 JSON 未包含完整资金流入榜单与十项真实金额。</w:t>
      </w:r>
    </w:p>
    <w:p>
      <w:pPr>
        <w:numPr>
          <w:ilvl w:val="0"/>
          <w:numId w:val="1004"/>
        </w:numPr>
        <w:pStyle w:val="Compact"/>
      </w:pPr>
      <w:r>
        <w:t xml:space="preserve">⚠️ 华泰单源仅给出 CPO 70.70 亿元、创新药 55.57 亿元、先进封装 49.28 亿元三条方向性线索；它们不能补齐或冒充本地结构化 TOP10。</w:t>
      </w:r>
    </w:p>
    <w:p>
      <w:pPr>
        <w:pStyle w:val="Heading3"/>
      </w:pPr>
      <w:bookmarkStart w:id="26" w:name="主力净流出-top10"/>
      <w:r>
        <w:t xml:space="preserve">📉 主力净流出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未核验，无法列出真实 TOP10</w:t>
      </w:r>
      <w:r>
        <w:t xml:space="preserve">。采集 JSON 没有任何可用的完整资金流出十项榜单，禁止自行补齐板块名称和金额。</w:t>
      </w:r>
    </w:p>
    <w:p>
      <w:pPr>
        <w:numPr>
          <w:ilvl w:val="0"/>
          <w:numId w:val="1005"/>
        </w:numPr>
        <w:pStyle w:val="Compact"/>
      </w:pPr>
      <w:r>
        <w:t xml:space="preserve">⚠️ 华泰文本只称贵金属、油气开采、工业金属、房地产、光伏设备走弱，但未提供完整净流出金额，故不能写成资金流出排名。</w:t>
      </w:r>
    </w:p>
    <w:p>
      <w:pPr>
        <w:pStyle w:val="Heading3"/>
      </w:pPr>
      <w:bookmarkStart w:id="27" w:name="资金信号解读"/>
      <w:r>
        <w:t xml:space="preserve">⚠️ 资金信号解读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🔥 华泰单源资金线索与科创50、创业板指相对强势共同指向科技成长和医药修复，但因完整资金榜缺失，置信度只能定为</w:t>
      </w:r>
      <w:r>
        <w:t xml:space="preserve">“</w:t>
      </w:r>
      <w:r>
        <w:t xml:space="preserve">方向确认、排名未核验</w:t>
      </w:r>
      <w:r>
        <w:t xml:space="preserve">”</w:t>
      </w:r>
      <w:r>
        <w:t xml:space="preserve">。</w:t>
      </w:r>
    </w:p>
    <w:p>
      <w:pPr>
        <w:numPr>
          <w:ilvl w:val="0"/>
          <w:numId w:val="1006"/>
        </w:numPr>
        <w:pStyle w:val="Compact"/>
      </w:pPr>
      <w:r>
        <w:t xml:space="preserve">📉 3095 家下跌说明指数上涨并未形成普涨，午后若双创回落，高弹性方向可能放大兑现压力。</w:t>
      </w:r>
    </w:p>
    <w:p>
      <w:pPr>
        <w:numPr>
          <w:ilvl w:val="0"/>
          <w:numId w:val="1006"/>
        </w:numPr>
        <w:pStyle w:val="Compact"/>
      </w:pPr>
      <w:r>
        <w:t xml:space="preserve">💰 半日成交额 15997.38 亿元可确认，但同比、环比比较口径未核验，不能据此宣称</w:t>
      </w:r>
      <w:r>
        <w:t xml:space="preserve">“</w:t>
      </w:r>
      <w:r>
        <w:t xml:space="preserve">较昨日同期放量 2085.27 亿元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资金流出预警"/>
      <w:r>
        <w:t xml:space="preserve">⚠️ 资金流出预警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📉 贵金属、油气开采：华泰单源将其列为走弱方向；没有真实净流出金额，暂只能判断为风险偏好切换线索，不能定性为大规模撤退。</w:t>
      </w:r>
    </w:p>
    <w:p>
      <w:pPr>
        <w:numPr>
          <w:ilvl w:val="0"/>
          <w:numId w:val="1007"/>
        </w:numPr>
        <w:pStyle w:val="Compact"/>
      </w:pPr>
      <w:r>
        <w:t xml:space="preserve">📉 工业金属、房地产：同属华泰单源弱势描述，缺少板块跌幅、成交额与资金榜验证，午后以回避弱势反抽为主。</w:t>
      </w:r>
    </w:p>
    <w:p>
      <w:pPr>
        <w:numPr>
          <w:ilvl w:val="0"/>
          <w:numId w:val="1007"/>
        </w:numPr>
        <w:pStyle w:val="Compact"/>
      </w:pPr>
      <w:r>
        <w:t xml:space="preserve">📉 光伏设备：华泰单源称板块承压，自选股弘元绿能同步跌 3.24%，形成有限的价格侧印证；但板块资金和完整成分股表现未核验，不能扩大为全行业退潮结论。</w:t>
      </w:r>
    </w:p>
    <w:p>
      <w:pPr>
        <w:numPr>
          <w:ilvl w:val="0"/>
          <w:numId w:val="1007"/>
        </w:numPr>
        <w:pStyle w:val="Compact"/>
      </w:pPr>
      <w:r>
        <w:t xml:space="preserve">🚫 预警原则：高位 CPO、算力与创新药若午后出现核心股开板、回落且板块扩散收缩，应视为兑现风险；缺少实时资金榜时不做</w:t>
      </w:r>
      <w:r>
        <w:t xml:space="preserve">“</w:t>
      </w:r>
      <w:r>
        <w:t xml:space="preserve">抄底流出榜</w:t>
      </w:r>
      <w:r>
        <w:t xml:space="preserve">”</w:t>
      </w:r>
      <w:r>
        <w:t xml:space="preserve">交易。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盘前预判-vs-实盘"/>
      <w:r>
        <w:t xml:space="preserve">🎯 盘前预判 vs 实盘</w:t>
      </w:r>
      <w:bookmarkEnd w:id="29"/>
    </w:p>
    <w:p>
      <w:pPr>
        <w:pStyle w:val="Heading3"/>
      </w:pPr>
      <w:bookmarkStart w:id="30" w:name="命中点"/>
      <w:r>
        <w:t xml:space="preserve">✅ 命中点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🚀 盘前把 AI 算力硬件—PCB/光通信列为高观察方向；上午 CPO/光通信获华泰单源 70.70 亿元净流入线索，且科创50涨 1.9018%、创业板指涨 1.6149%，成长风格得到验证。</w:t>
      </w:r>
    </w:p>
    <w:p>
      <w:pPr>
        <w:numPr>
          <w:ilvl w:val="0"/>
          <w:numId w:val="1008"/>
        </w:numPr>
        <w:pStyle w:val="Compact"/>
      </w:pPr>
      <w:r>
        <w:t xml:space="preserve">📊 盘前预判</w:t>
      </w:r>
      <w:r>
        <w:t xml:space="preserve">“</w:t>
      </w:r>
      <w:r>
        <w:t xml:space="preserve">偏强震荡、关键看高开后的量能和承接</w:t>
      </w:r>
      <w:r>
        <w:t xml:space="preserve">”</w:t>
      </w:r>
      <w:r>
        <w:t xml:space="preserve">；上午五项指数全部上涨，全市场半日成交额达到 15997.38 亿元，指数层面的偏强判断成立。</w:t>
      </w:r>
    </w:p>
    <w:p>
      <w:pPr>
        <w:numPr>
          <w:ilvl w:val="0"/>
          <w:numId w:val="1008"/>
        </w:numPr>
        <w:pStyle w:val="Compact"/>
      </w:pPr>
      <w:r>
        <w:t xml:space="preserve">⚠️ 盘前提示不能把政策预案直接当主线；核电设备、西部交通基建上午缺乏可确认的板块资金与活跃股证据，继续停留在观察层，未被强行拔高。</w:t>
      </w:r>
    </w:p>
    <w:p>
      <w:pPr>
        <w:pStyle w:val="Heading3"/>
      </w:pPr>
      <w:bookmarkStart w:id="31" w:name="偏差点"/>
      <w:r>
        <w:t xml:space="preserve">❌ 偏差点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💊 盘前重点方向未覆盖医疗服务/CRO/创新药；上午该方向获得华泰单源 55.57 亿元净流入线索，并有多只 20% 涨幅样本，是最明显的新增强势方向。</w:t>
      </w:r>
    </w:p>
    <w:p>
      <w:pPr>
        <w:numPr>
          <w:ilvl w:val="0"/>
          <w:numId w:val="1009"/>
        </w:numPr>
        <w:pStyle w:val="Compact"/>
      </w:pPr>
      <w:r>
        <w:t xml:space="preserve">🎭 盘前参考上一交易日 4128 家上涨，预期风险偏好偏高；上午实际仅 2287 家上涨、3095 家下跌，赚钱效应明显弱于指数表现。</w:t>
      </w:r>
    </w:p>
    <w:p>
      <w:pPr>
        <w:numPr>
          <w:ilvl w:val="0"/>
          <w:numId w:val="1009"/>
        </w:numPr>
        <w:pStyle w:val="Compact"/>
      </w:pPr>
      <w:r>
        <w:t xml:space="preserve">🚗 汽车出口、核电、西部基建等政策线索未获得本地板块表现和资金榜确认；盘前</w:t>
      </w:r>
      <w:r>
        <w:t xml:space="preserve">“</w:t>
      </w:r>
      <w:r>
        <w:t xml:space="preserve">等资金验证</w:t>
      </w:r>
      <w:r>
        <w:t xml:space="preserve">”</w:t>
      </w:r>
      <w:r>
        <w:t xml:space="preserve">的约束仍有效。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 3 只行情全部取得，但均为华泰单源，未获新浪、东方财富、腾讯个股行情交叉校验。风语筑与短线活跃线索共振最强；弘元绿能处于弱势光伏方向；工商银行承担防御属性。整体仍应分化处理，非共振标的以跟踪为主、暂不作为主攻方向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：最新 17.00 元，跌 3.24%，前收 17.57 元；属于光伏设备/硅片方向。华泰单源称光伏设备上午承压，与科技、医药主线不共振。判断：偏弱，反弹以降低风险或继续观察为主，不无条件补仓；只有光伏板块转强且股价重新站稳 17.57 元后，才可低吸跟踪。</w:t>
      </w:r>
    </w:p>
    <w:p>
      <w:pPr>
        <w:numPr>
          <w:ilvl w:val="0"/>
          <w:numId w:val="1010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603466 风语筑</w:t>
      </w:r>
      <w:r>
        <w:t xml:space="preserve">：最新 13.72 元，涨 10.02%，等于采集到的涨停价 13.72 元；属于数字展示、文化科技方向。华泰单源连板线索称其为 2 连板，虽非 CPO/创新药主线，但与短线活跃情绪共振。判断：偏强但不追高；若午后开板后不能快速回封，应防止兑现，继续封稳则持股观察强度。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 7.55 元，涨 0.40%，前收 7.52 元；属于银行高股息防御，与科技成长、创新药主线无明显共振。判断：继续观察、偏稳健持有，以跟踪为主、暂不作为主攻方向；若指数回落时仍能保持相对强势，可继续承担组合稳定器角色。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盘操作建议"/>
      <w:r>
        <w:t xml:space="preserve">🎯 下午盘操作建议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 市场判断：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。指数偏强但个股下跌占多数，午后更适合围绕确认主线做分歧，不适合全面追涨。</w:t>
      </w:r>
    </w:p>
    <w:p>
      <w:pPr>
        <w:numPr>
          <w:ilvl w:val="0"/>
          <w:numId w:val="1011"/>
        </w:numPr>
        <w:pStyle w:val="Compact"/>
      </w:pPr>
      <w:r>
        <w:t xml:space="preserve">💰 仓位模型：激进 60%、稳健/均衡 45%、保守 30%，最高 60%；置信度为 normal。因资金 TOP10、板块榜、活跃股及涨停样本缺失，不建议突破模型上限。</w:t>
      </w:r>
    </w:p>
    <w:p>
      <w:pPr>
        <w:numPr>
          <w:ilvl w:val="0"/>
          <w:numId w:val="1011"/>
        </w:numPr>
        <w:pStyle w:val="Compact"/>
      </w:pPr>
      <w:r>
        <w:t xml:space="preserve">💡 激进：只在 CPO、创新药或先进封装中选择一个最强方向，等待核心股分歧回封或回踩承接；单一高弹性方向不重仓叠加。</w:t>
      </w:r>
    </w:p>
    <w:p>
      <w:pPr>
        <w:numPr>
          <w:ilvl w:val="0"/>
          <w:numId w:val="1011"/>
        </w:numPr>
        <w:pStyle w:val="Compact"/>
      </w:pPr>
      <w:r>
        <w:t xml:space="preserve">💡 稳健：保持 45% 上限，优先观察 CPO 容量核心和创新药高辨识度标的，不追 20% 涨停样本；板块资金与指数同时转弱时主动降仓。</w:t>
      </w:r>
    </w:p>
    <w:p>
      <w:pPr>
        <w:numPr>
          <w:ilvl w:val="0"/>
          <w:numId w:val="1011"/>
        </w:numPr>
        <w:pStyle w:val="Compact"/>
      </w:pPr>
      <w:r>
        <w:t xml:space="preserve">💡 保守：保持 30% 上限，以工商银行等防御仓观察市场稳定性，成长方向等待午后资金延续和收盘确认。</w:t>
      </w:r>
    </w:p>
    <w:p>
      <w:pPr>
        <w:numPr>
          <w:ilvl w:val="0"/>
          <w:numId w:val="1011"/>
        </w:numPr>
        <w:pStyle w:val="Compact"/>
      </w:pPr>
      <w:r>
        <w:t xml:space="preserve">🚫 回避/减仓：贵金属、油气、工业金属、房地产及弱势光伏反抽；高位算力、CPO跟风股若放量冲高回落，也按兑现风险处理。</w:t>
      </w:r>
    </w:p>
    <w:p>
      <w:pPr>
        <w:numPr>
          <w:ilvl w:val="0"/>
          <w:numId w:val="1011"/>
        </w:numPr>
        <w:pStyle w:val="Compact"/>
      </w:pPr>
      <w:r>
        <w:t xml:space="preserve">⚠️ 风险：指数与个股背离、资金榜缺失、高位题材兑现、华泰单源偏差，以及午后预测成交额未兑现。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投资方向分层"/>
      <w:r>
        <w:t xml:space="preserve">🎯 下午投资方向分层</w:t>
      </w:r>
      <w:bookmarkEnd w:id="34"/>
    </w:p>
    <w:p>
      <w:pPr>
        <w:pStyle w:val="Heading3"/>
      </w:pPr>
      <w:bookmarkStart w:id="35" w:name="可参与cpo光模块光通信优先级高"/>
      <w:r>
        <w:t xml:space="preserve">💻 可参与：CPO—光模块/光通信（优先级：高）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 证据链：科创50涨 1.9018%、创业板指涨 1.6149%；华泰单源称 CPO 半日净流入 70.70 亿元；共进股份、天洋新材涨停，天孚通信盘中涨超 13%。指数、资金线索和活跃个股三类证据同向，但本地资金与个股多源校验缺失。</w:t>
      </w:r>
    </w:p>
    <w:p>
      <w:pPr>
        <w:numPr>
          <w:ilvl w:val="0"/>
          <w:numId w:val="1012"/>
        </w:numPr>
        <w:pStyle w:val="Compact"/>
      </w:pPr>
      <w:r>
        <w:t xml:space="preserve">🔥 核心标的：天孚通信（高弹性光模块核心，华泰称盘中涨超 13%）、共进股份（华泰单源涨停样本）、天洋新材（华泰单源涨停且连板线索）。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参与策略：激进等分歧后的核心股回封；稳健等板块回踩不破上午关键区间且成交维持；保守只观察至收盘。</w:t>
      </w:r>
    </w:p>
    <w:p>
      <w:pPr>
        <w:numPr>
          <w:ilvl w:val="0"/>
          <w:numId w:val="1012"/>
        </w:numPr>
        <w:pStyle w:val="Compact"/>
      </w:pPr>
      <w:r>
        <w:t xml:space="preserve">✅ 触发条件：科创50保持相对强势，板块至少两只核心维持强势，午后成交没有明显衰减。</w:t>
      </w:r>
    </w:p>
    <w:p>
      <w:pPr>
        <w:numPr>
          <w:ilvl w:val="0"/>
          <w:numId w:val="1012"/>
        </w:numPr>
        <w:pStyle w:val="Compact"/>
      </w:pPr>
      <w:r>
        <w:t xml:space="preserve">🚫 失效条件：天孚通信等核心冲高回落、涨停样本集中开板，或科技指数涨幅快速收窄。</w:t>
      </w:r>
    </w:p>
    <w:p>
      <w:pPr>
        <w:numPr>
          <w:ilvl w:val="0"/>
          <w:numId w:val="1012"/>
        </w:numPr>
        <w:pStyle w:val="Compact"/>
      </w:pPr>
      <w:r>
        <w:t xml:space="preserve">⚠️ 风险：短期涨幅高、资金虹吸强，跟风股可能先于指数退潮。</w:t>
      </w:r>
    </w:p>
    <w:p>
      <w:pPr>
        <w:pStyle w:val="Heading3"/>
      </w:pPr>
      <w:bookmarkStart w:id="36" w:name="可参与医疗服务cro创新药优先级高"/>
      <w:r>
        <w:t xml:space="preserve">💊 可参与：医疗服务—CRO/创新药（优先级：高）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证据链：华泰单源称创新药净流入 55.57 亿元；博济医药涨 20.02%、万邦医药涨 20.00%、陇神戎发涨 19.97%；多只高涨幅样本显示医药内部扩散。完整板块涨幅、成交额和本地资金榜仍未核验。</w:t>
      </w:r>
    </w:p>
    <w:p>
      <w:pPr>
        <w:numPr>
          <w:ilvl w:val="0"/>
          <w:numId w:val="1013"/>
        </w:numPr>
        <w:pStyle w:val="Compact"/>
      </w:pPr>
      <w:r>
        <w:t xml:space="preserve">🔥 核心标的：博济医药（14.45 元、涨 20.02%）、万邦医药（88.68 元、涨 20.00%）、陇神戎发（18.92 元、涨 19.97%）。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参与策略：激进只做换手后最先回封的高辨识度标的；稳健等待非涨停容量股承接；保守不追 20% 涨停。</w:t>
      </w:r>
    </w:p>
    <w:p>
      <w:pPr>
        <w:numPr>
          <w:ilvl w:val="0"/>
          <w:numId w:val="1013"/>
        </w:numPr>
        <w:pStyle w:val="Compact"/>
      </w:pPr>
      <w:r>
        <w:t xml:space="preserve">✅ 触发条件：涨停样本不集中开板，医药内部仍有扩散，且创业板指不明显转弱。</w:t>
      </w:r>
    </w:p>
    <w:p>
      <w:pPr>
        <w:numPr>
          <w:ilvl w:val="0"/>
          <w:numId w:val="1013"/>
        </w:numPr>
        <w:pStyle w:val="Compact"/>
      </w:pPr>
      <w:r>
        <w:t xml:space="preserve">🚫 失效条件：高位样本连续开板、板块由普遍扩散变为少数抱团，或华泰后续资金线索转弱。</w:t>
      </w:r>
    </w:p>
    <w:p>
      <w:pPr>
        <w:numPr>
          <w:ilvl w:val="0"/>
          <w:numId w:val="1013"/>
        </w:numPr>
        <w:pStyle w:val="Compact"/>
      </w:pPr>
      <w:r>
        <w:t xml:space="preserve">⚠️ 风险：消息驱动后的快速兑现、20% 涨停高波动、单源资金信息偏差。</w:t>
      </w:r>
    </w:p>
    <w:p>
      <w:pPr>
        <w:pStyle w:val="Heading3"/>
      </w:pPr>
      <w:bookmarkStart w:id="37" w:name="只观察先进封装半导体优先级中"/>
      <w:r>
        <w:t xml:space="preserve">🧠 只观察：先进封装/半导体（优先级：中）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 证据链：华泰单源称先进封装净流入 49.28 亿元，并提及沐曦股份、源杰科技、华虹宏力上涨；科创50领涨提供风格共振。但本地板块表现、成交额和核心个股行情均未核验。</w:t>
      </w:r>
    </w:p>
    <w:p>
      <w:pPr>
        <w:numPr>
          <w:ilvl w:val="0"/>
          <w:numId w:val="1014"/>
        </w:numPr>
        <w:pStyle w:val="Compact"/>
      </w:pPr>
      <w:r>
        <w:t xml:space="preserve">🔥 核心标的：源杰科技（华泰单源涨 8.26%）、华虹宏力（华泰单源涨 6.37%）；沐曦股份名称与证券代码未在结构化数据中提供，不作精确交易指引。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参与策略：激进也只小仓观察，稳健等待资金榜恢复，保守等待收盘确认。</w:t>
      </w:r>
    </w:p>
    <w:p>
      <w:pPr>
        <w:numPr>
          <w:ilvl w:val="0"/>
          <w:numId w:val="1014"/>
        </w:numPr>
        <w:pStyle w:val="Compact"/>
      </w:pPr>
      <w:r>
        <w:t xml:space="preserve">✅ 触发条件：科创50维持强势，半导体内部扩散且成交继续活跃。</w:t>
      </w:r>
    </w:p>
    <w:p>
      <w:pPr>
        <w:numPr>
          <w:ilvl w:val="0"/>
          <w:numId w:val="1014"/>
        </w:numPr>
        <w:pStyle w:val="Compact"/>
      </w:pPr>
      <w:r>
        <w:t xml:space="preserve">🚫 失效条件：科创50冲高回落、半导体跟风股普遍转绿，或主线资金集中回流 CPO 导致分支失血。</w:t>
      </w:r>
    </w:p>
    <w:p>
      <w:pPr>
        <w:numPr>
          <w:ilvl w:val="0"/>
          <w:numId w:val="1014"/>
        </w:numPr>
        <w:pStyle w:val="Compact"/>
      </w:pPr>
      <w:r>
        <w:t xml:space="preserve">⚠️ 风险：同属科技方向，可能与 CPO 争夺资金；缺少多源个股校验。</w:t>
      </w:r>
    </w:p>
    <w:p>
      <w:pPr>
        <w:pStyle w:val="Heading3"/>
      </w:pPr>
      <w:bookmarkStart w:id="38" w:name="应回避贵金属油气弱势光伏优先级回避"/>
      <w:r>
        <w:t xml:space="preserve">📉 应回避：贵金属/油气/弱势光伏（优先级：回避）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 证据链：华泰单源将贵金属、油气和光伏设备列为领跌方向；弘元绿能跌 3.24%，为光伏弱势提供一只自选股价格样本；3095 家下跌说明弱势方向承接不足。</w:t>
      </w:r>
    </w:p>
    <w:p>
      <w:pPr>
        <w:numPr>
          <w:ilvl w:val="0"/>
          <w:numId w:val="1015"/>
        </w:numPr>
        <w:pStyle w:val="Compact"/>
      </w:pPr>
      <w:r>
        <w:t xml:space="preserve">🔥 观察标的：弘元绿能仅用于风险跟踪，不列为下午主攻标的；贵金属、油气因缺少结构化个股名单，不自行补齐。</w:t>
      </w:r>
    </w:p>
    <w:p>
      <w:pPr>
        <w:numPr>
          <w:ilvl w:val="0"/>
          <w:numId w:val="1015"/>
        </w:numPr>
        <w:pStyle w:val="Compact"/>
      </w:pPr>
      <w:r>
        <w:t xml:space="preserve">💡 参与策略：不抄底、不追反抽；已有仓位以反弹减压和风险控制为主。</w:t>
      </w:r>
    </w:p>
    <w:p>
      <w:pPr>
        <w:numPr>
          <w:ilvl w:val="0"/>
          <w:numId w:val="1015"/>
        </w:numPr>
        <w:pStyle w:val="Compact"/>
      </w:pPr>
      <w:r>
        <w:t xml:space="preserve">✅ 重新评估条件：板块由跌转强、出现真实资金净流入且至少两只容量核心同步修复。</w:t>
      </w:r>
    </w:p>
    <w:p>
      <w:pPr>
        <w:numPr>
          <w:ilvl w:val="0"/>
          <w:numId w:val="1015"/>
        </w:numPr>
        <w:pStyle w:val="Compact"/>
      </w:pPr>
      <w:r>
        <w:t xml:space="preserve">🚫 失效条件：弱势延续、反弹无量或指数回落时跌幅继续扩大。</w:t>
      </w:r>
    </w:p>
    <w:p>
      <w:pPr>
        <w:numPr>
          <w:ilvl w:val="0"/>
          <w:numId w:val="1015"/>
        </w:numPr>
        <w:pStyle w:val="Compact"/>
      </w:pPr>
      <w:r>
        <w:t xml:space="preserve">⚠️ 风险：资金继续从周期、避险和弱势新能源切向科技、医药，导致相对收益进一步恶化。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午后风险清单"/>
      <w:r>
        <w:t xml:space="preserve">⚠️ 午后风险清单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🚫 资金流入 TOP10、资金流出 TOP10、板块 TOP10 均未核验；任何不完整榜单都不能当作真实排名使用。</w:t>
      </w:r>
    </w:p>
    <w:p>
      <w:pPr>
        <w:numPr>
          <w:ilvl w:val="0"/>
          <w:numId w:val="1016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，只使用 15997.38 亿元已确认原始金额，不使用变化百分比。</w:t>
      </w:r>
    </w:p>
    <w:p>
      <w:pPr>
        <w:numPr>
          <w:ilvl w:val="0"/>
          <w:numId w:val="1016"/>
        </w:numPr>
        <w:pStyle w:val="Compact"/>
      </w:pPr>
      <w:r>
        <w:t xml:space="preserve">⚠️ 56 家涨停、0 家跌停来自同花顺单源；具体涨停名单和连板梯队来自华泰文字时必须视为补充线索。</w:t>
      </w:r>
    </w:p>
    <w:p>
      <w:pPr>
        <w:numPr>
          <w:ilvl w:val="0"/>
          <w:numId w:val="1016"/>
        </w:numPr>
        <w:pStyle w:val="Compact"/>
      </w:pPr>
      <w:r>
        <w:t xml:space="preserve">🚫 个股多源校验失败，文中核心标的价格或涨幅若来自华泰，均不应作为无条件下单依据。</w:t>
      </w:r>
    </w:p>
    <w:p>
      <w:pPr>
        <w:numPr>
          <w:ilvl w:val="0"/>
          <w:numId w:val="1016"/>
        </w:numPr>
        <w:pStyle w:val="Compact"/>
      </w:pPr>
      <w:r>
        <w:t xml:space="preserve">💡 午后以</w:t>
      </w:r>
      <w:r>
        <w:t xml:space="preserve">“</w:t>
      </w:r>
      <w:r>
        <w:t xml:space="preserve">指数不转弱、核心股有承接、方向仍扩散</w:t>
      </w:r>
      <w:r>
        <w:t xml:space="preserve">”</w:t>
      </w:r>
      <w:r>
        <w:t xml:space="preserve">三项同时满足作为参与门槛；任两项失效即降仓。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生成时间：2026-08-13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2026-08-13T03:50:00Z</dcterms:created>
  <dcterms:modified xsi:type="dcterms:W3CDTF">2026-08-13T03:50:00Z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