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8-12周三"/>
      <w:r>
        <w:t xml:space="preserve">🌅 盘前简报 | 2026-08-12（周三）</w:t>
      </w:r>
      <w:bookmarkEnd w:id="20"/>
    </w:p>
    <w:p>
      <w:pPr>
        <w:pStyle w:val="BlockText"/>
      </w:pPr>
      <w:r>
        <w:t xml:space="preserve">数据说明：本报告仅使用 2026-08-12 08:30 采集 JSON 及其中可确认信息。关键源覆盖 3/7（42.86%）；指数由新浪、东方财富、腾讯三源交叉验证，市场广度和全市场成交额为同花顺单源。资金流、板块表现、活跃个股、涨跌停样本、公告及核心个股多源校验失败，相关内容均降级为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，不补写缺失榜单。华泰行情与筛选结果仅作补充单源。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隔夜全球市场"/>
      <w:r>
        <w:t xml:space="preserve">🌐 隔夜全球市场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 港股：恒生指数 8 月 11 日收于 25937.49 点，跌 1.10%；这是上一交易日收盘数据，今日 08:30 港股尚未开盘。</w:t>
      </w:r>
    </w:p>
    <w:p>
      <w:pPr>
        <w:numPr>
          <w:ilvl w:val="0"/>
          <w:numId w:val="1001"/>
        </w:numPr>
        <w:pStyle w:val="Compact"/>
      </w:pPr>
      <w:r>
        <w:t xml:space="preserve">📉 富时中国 A50 期指：14923.02 点，跌 0.11%，盘前外部情绪略偏谨慎。</w:t>
      </w:r>
    </w:p>
    <w:p>
      <w:pPr>
        <w:numPr>
          <w:ilvl w:val="0"/>
          <w:numId w:val="1001"/>
        </w:numPr>
        <w:pStyle w:val="Compact"/>
      </w:pPr>
      <w:r>
        <w:t xml:space="preserve">💱 美元离岸人民币：6.7467，涨 0.01%，人民币盘前波动有限。</w:t>
      </w:r>
    </w:p>
    <w:p>
      <w:pPr>
        <w:numPr>
          <w:ilvl w:val="0"/>
          <w:numId w:val="1001"/>
        </w:numPr>
        <w:pStyle w:val="Compact"/>
      </w:pPr>
      <w:r>
        <w:t xml:space="preserve">🛢️ WTI 原油：83.716 美元/桶，涨 0.62%；COMEX 黄金 4441.032 美元/盎司，涨跌幅显示为 -0.00%；伦铜 14155.54，跌 0.01%。</w:t>
      </w:r>
    </w:p>
    <w:p>
      <w:pPr>
        <w:numPr>
          <w:ilvl w:val="0"/>
          <w:numId w:val="1001"/>
        </w:numPr>
        <w:pStyle w:val="Compact"/>
      </w:pPr>
      <w:r>
        <w:t xml:space="preserve">⚠️ 美股三大指数、重点中概股及欧洲主要股指具体数值未进入采集 JSON，本轮未核验；不引用华泰文本中的外围数值描述替代结构化行情。</w:t>
      </w:r>
    </w:p>
    <w:p>
      <w:pPr>
        <w:pStyle w:val="FirstParagraph"/>
      </w:pPr>
      <w:r>
        <w:t xml:space="preserve">💡 盘前含义：A50与港股上一交易日表现偏弱，原油受地缘局势支撑；A股开盘更适合先看防御与结构性机会，不宜预设全面反攻。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新闻联播政策面"/>
      <w:r>
        <w:t xml:space="preserve">📺 新闻联播政策面</w:t>
      </w:r>
      <w:bookmarkEnd w:id="22"/>
    </w:p>
    <w:p>
      <w:pPr>
        <w:pStyle w:val="Heading3"/>
      </w:pPr>
      <w:bookmarkStart w:id="23" w:name="总体分析"/>
      <w:r>
        <w:t xml:space="preserve">📌 总体分析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🔴 央视来源完整：播出日期 2026-08-11，目录 14 条、详情成功 14 条，采集时间 2026-08-12 08:30:05；央视来源页与本地存档均已确认。</w:t>
      </w:r>
    </w:p>
    <w:p>
      <w:pPr>
        <w:numPr>
          <w:ilvl w:val="0"/>
          <w:numId w:val="1002"/>
        </w:numPr>
        <w:pStyle w:val="Compact"/>
      </w:pPr>
      <w:r>
        <w:t xml:space="preserve">🚀 最明确的实质政策是煤炭工业</w:t>
      </w:r>
      <w:r>
        <w:t xml:space="preserve">“</w:t>
      </w:r>
      <w:r>
        <w:t xml:space="preserve">十五五</w:t>
      </w:r>
      <w:r>
        <w:t xml:space="preserve">”</w:t>
      </w:r>
      <w:r>
        <w:t xml:space="preserve">规划：到 2030 年大型现代化煤矿产能比重提升到 87%、智能化煤矿产能比例提升到 75%，映射煤矿智能化、矿山装备、安全生产与煤层气。</w:t>
      </w:r>
    </w:p>
    <w:p>
      <w:pPr>
        <w:numPr>
          <w:ilvl w:val="0"/>
          <w:numId w:val="1002"/>
        </w:numPr>
        <w:pStyle w:val="Compact"/>
      </w:pPr>
      <w:r>
        <w:t xml:space="preserve">🌳 生态保护</w:t>
      </w:r>
      <w:r>
        <w:t xml:space="preserve">“</w:t>
      </w:r>
      <w:r>
        <w:t xml:space="preserve">十五五</w:t>
      </w:r>
      <w:r>
        <w:t xml:space="preserve">”</w:t>
      </w:r>
      <w:r>
        <w:t xml:space="preserve">规划提出到 2030 年自然保护地陆域面积占比不低于 18%、水土保持率达到 74% 以上、森林覆盖率达到 25.8%，利好生态修复与水土保持的中期需求。</w:t>
      </w:r>
    </w:p>
    <w:p>
      <w:pPr>
        <w:numPr>
          <w:ilvl w:val="0"/>
          <w:numId w:val="1002"/>
        </w:numPr>
        <w:pStyle w:val="Compact"/>
      </w:pPr>
      <w:r>
        <w:t xml:space="preserve">🧓 社保、长期护理保险与新就业形态职业伤害保障持续完善，养老服务、护理服务、医疗信息化存在中长期增量，但短线仍需订单和资金验证。</w:t>
      </w:r>
    </w:p>
    <w:p>
      <w:pPr>
        <w:numPr>
          <w:ilvl w:val="0"/>
          <w:numId w:val="1002"/>
        </w:numPr>
        <w:pStyle w:val="Compact"/>
      </w:pPr>
      <w:r>
        <w:t xml:space="preserve">⚠️ 霍尔木兹海峡、美伊摩擦、也门局势与欧美干旱共同抬高能源、航运、农业及供应链风险；WTI上涨0.62%，但A股板块资金榜缺失，不能把事件线索写成已确认主线。</w:t>
      </w:r>
    </w:p>
    <w:p>
      <w:pPr>
        <w:pStyle w:val="Heading3"/>
      </w:pPr>
      <w:bookmarkStart w:id="24" w:name="逐条新闻解读"/>
      <w:r>
        <w:t xml:space="preserve">📰 逐条新闻解读</w:t>
      </w:r>
      <w:bookmarkEnd w:id="24"/>
    </w:p>
    <w:p>
      <w:pPr>
        <w:pStyle w:val="Heading4"/>
      </w:pPr>
      <w:bookmarkStart w:id="25" w:name="习近平就哥伦比亚发生强烈地震向哥伦比亚总统致慰问电"/>
      <w:r>
        <w:t xml:space="preserve">习近平就哥伦比亚发生强烈地震向哥伦比亚总统致慰问电</w:t>
      </w:r>
      <w:bookmarkEnd w:id="25"/>
    </w:p>
    <w:p>
      <w:pPr>
        <w:numPr>
          <w:ilvl w:val="0"/>
          <w:numId w:val="1003"/>
        </w:numPr>
        <w:pStyle w:val="Compact"/>
      </w:pPr>
      <w:r>
        <w:t xml:space="preserve">A股影响：中性</w:t>
      </w:r>
    </w:p>
    <w:p>
      <w:pPr>
        <w:numPr>
          <w:ilvl w:val="0"/>
          <w:numId w:val="1003"/>
        </w:numPr>
        <w:pStyle w:val="Compact"/>
      </w:pPr>
      <w:r>
        <w:t xml:space="preserve">相关板块：无直接映射</w:t>
      </w:r>
    </w:p>
    <w:p>
      <w:pPr>
        <w:numPr>
          <w:ilvl w:val="0"/>
          <w:numId w:val="1003"/>
        </w:numPr>
        <w:pStyle w:val="Compact"/>
      </w:pPr>
      <w:r>
        <w:t xml:space="preserve">核心解读：属于外交慰问信息，没有可确认的国内产业订单或盈利传导。</w:t>
      </w:r>
    </w:p>
    <w:p>
      <w:pPr>
        <w:numPr>
          <w:ilvl w:val="0"/>
          <w:numId w:val="1003"/>
        </w:numPr>
        <w:pStyle w:val="Compact"/>
      </w:pPr>
      <w:r>
        <w:t xml:space="preserve">验证条件：若后续出现中国企业参与救援或重建的正式项目，再评估工程机械、基建出海影响；否则不据此交易。</w:t>
      </w:r>
    </w:p>
    <w:p>
      <w:pPr>
        <w:pStyle w:val="Heading4"/>
      </w:pPr>
      <w:bookmarkStart w:id="26" w:name="新思想引领新征程织就更密更暖的社会保障安全网"/>
      <w:r>
        <w:t xml:space="preserve">【新思想引领新征程】织就更密更暖的社会保障安全网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A股影响：偏利好</w:t>
      </w:r>
    </w:p>
    <w:p>
      <w:pPr>
        <w:numPr>
          <w:ilvl w:val="0"/>
          <w:numId w:val="1004"/>
        </w:numPr>
        <w:pStyle w:val="Compact"/>
      </w:pPr>
      <w:r>
        <w:t xml:space="preserve">相关板块：养老服务、长期护理、医疗信息化、职业伤害保障</w:t>
      </w:r>
    </w:p>
    <w:p>
      <w:pPr>
        <w:numPr>
          <w:ilvl w:val="0"/>
          <w:numId w:val="1004"/>
        </w:numPr>
        <w:pStyle w:val="Compact"/>
      </w:pPr>
      <w:r>
        <w:t xml:space="preserve">核心解读：长护险进入全面推行阶段，新就业形态职业伤害保障试点扩至全国，政策由局部试点向制度建设推进，利于养老护理和社保数字化的长期需求。</w:t>
      </w:r>
    </w:p>
    <w:p>
      <w:pPr>
        <w:numPr>
          <w:ilvl w:val="0"/>
          <w:numId w:val="1004"/>
        </w:numPr>
        <w:pStyle w:val="Compact"/>
      </w:pPr>
      <w:r>
        <w:t xml:space="preserve">验证条件：观察正式配套政策、支付标准、地方落地及相关板块成交；若缺少订单和盈利兑现，仅作中期配置线索。</w:t>
      </w:r>
    </w:p>
    <w:p>
      <w:pPr>
        <w:pStyle w:val="Heading4"/>
      </w:pPr>
      <w:bookmarkStart w:id="27" w:name="文献纪录片江泽民今晚开始播出"/>
      <w:r>
        <w:t xml:space="preserve">文献纪录片《江泽民》今晚开始播出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A股影响：中性</w:t>
      </w:r>
    </w:p>
    <w:p>
      <w:pPr>
        <w:numPr>
          <w:ilvl w:val="0"/>
          <w:numId w:val="1005"/>
        </w:numPr>
        <w:pStyle w:val="Compact"/>
      </w:pPr>
      <w:r>
        <w:t xml:space="preserve">相关板块：无直接映射</w:t>
      </w:r>
    </w:p>
    <w:p>
      <w:pPr>
        <w:numPr>
          <w:ilvl w:val="0"/>
          <w:numId w:val="1005"/>
        </w:numPr>
        <w:pStyle w:val="Compact"/>
      </w:pPr>
      <w:r>
        <w:t xml:space="preserve">核心解读：属于纪念性文化节目播出安排，没有直接、可量化的上市公司盈利传导。</w:t>
      </w:r>
    </w:p>
    <w:p>
      <w:pPr>
        <w:numPr>
          <w:ilvl w:val="0"/>
          <w:numId w:val="1005"/>
        </w:numPr>
        <w:pStyle w:val="Compact"/>
      </w:pPr>
      <w:r>
        <w:t xml:space="preserve">验证条件：不设置交易触发条件，不据此进行题材炒作。</w:t>
      </w:r>
    </w:p>
    <w:p>
      <w:pPr>
        <w:pStyle w:val="Heading4"/>
      </w:pPr>
      <w:bookmarkStart w:id="28" w:name="各地抢抓农时做好田间管理"/>
      <w:r>
        <w:t xml:space="preserve">各地抢抓农时做好田间管理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A股影响：偏利好</w:t>
      </w:r>
    </w:p>
    <w:p>
      <w:pPr>
        <w:numPr>
          <w:ilvl w:val="0"/>
          <w:numId w:val="1006"/>
        </w:numPr>
        <w:pStyle w:val="Compact"/>
      </w:pPr>
      <w:r>
        <w:t xml:space="preserve">相关板块：智慧农业、植保无人机、农机、水肥一体化、种业服务</w:t>
      </w:r>
    </w:p>
    <w:p>
      <w:pPr>
        <w:numPr>
          <w:ilvl w:val="0"/>
          <w:numId w:val="1006"/>
        </w:numPr>
        <w:pStyle w:val="Compact"/>
      </w:pPr>
      <w:r>
        <w:t xml:space="preserve">核心解读：黑龙江使用智能监测设备，河北推广水肥一体化，陕西开展植保无人机作业，反映农业生产数字化和机械化需求；政策力度偏行业推广，非单一公司订单。</w:t>
      </w:r>
    </w:p>
    <w:p>
      <w:pPr>
        <w:numPr>
          <w:ilvl w:val="0"/>
          <w:numId w:val="1006"/>
        </w:numPr>
        <w:pStyle w:val="Compact"/>
      </w:pPr>
      <w:r>
        <w:t xml:space="preserve">验证条件：智慧农业、农机与植保方向需出现板块放量、订单公告或资金净流入；若仅个股高开，按事件脉冲处理。</w:t>
      </w:r>
    </w:p>
    <w:p>
      <w:pPr>
        <w:pStyle w:val="Heading4"/>
      </w:pPr>
      <w:bookmarkStart w:id="29" w:name="十五五时期我国生态质量将稳步改善"/>
      <w:r>
        <w:t xml:space="preserve">“</w:t>
      </w:r>
      <w:r>
        <w:t xml:space="preserve">十五五</w:t>
      </w:r>
      <w:r>
        <w:t xml:space="preserve">”</w:t>
      </w:r>
      <w:r>
        <w:t xml:space="preserve">时期我国生态质量将稳步改善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A股影响：利好</w:t>
      </w:r>
    </w:p>
    <w:p>
      <w:pPr>
        <w:numPr>
          <w:ilvl w:val="0"/>
          <w:numId w:val="1007"/>
        </w:numPr>
        <w:pStyle w:val="Compact"/>
      </w:pPr>
      <w:r>
        <w:t xml:space="preserve">相关板块：生态修复、水土保持、园林工程、环境监测、国家公园建设</w:t>
      </w:r>
    </w:p>
    <w:p>
      <w:pPr>
        <w:numPr>
          <w:ilvl w:val="0"/>
          <w:numId w:val="1007"/>
        </w:numPr>
        <w:pStyle w:val="Compact"/>
      </w:pPr>
      <w:r>
        <w:t xml:space="preserve">核心解读：规划给出自然保护地、水土保持率和森林覆盖率等明确目标，政策力度高于例行表态，形成中期项目需求预期。</w:t>
      </w:r>
    </w:p>
    <w:p>
      <w:pPr>
        <w:numPr>
          <w:ilvl w:val="0"/>
          <w:numId w:val="1007"/>
        </w:numPr>
        <w:pStyle w:val="Compact"/>
      </w:pPr>
      <w:r>
        <w:t xml:space="preserve">验证条件：跟踪财政投入、项目招标及环保板块资金；若项目落地慢或板块无成交扩散，不作为短线主攻。</w:t>
      </w:r>
    </w:p>
    <w:p>
      <w:pPr>
        <w:pStyle w:val="Heading4"/>
      </w:pPr>
      <w:bookmarkStart w:id="30" w:name="我国将加快打造现代煤炭产业体系"/>
      <w:r>
        <w:t xml:space="preserve">我国将加快打造现代煤炭产业体系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A股影响：利好</w:t>
      </w:r>
    </w:p>
    <w:p>
      <w:pPr>
        <w:numPr>
          <w:ilvl w:val="0"/>
          <w:numId w:val="1008"/>
        </w:numPr>
        <w:pStyle w:val="Compact"/>
      </w:pPr>
      <w:r>
        <w:t xml:space="preserve">相关板块：煤矿智能化、矿山装备、煤层气、煤炭安全生产、清洁高效利用</w:t>
      </w:r>
    </w:p>
    <w:p>
      <w:pPr>
        <w:numPr>
          <w:ilvl w:val="0"/>
          <w:numId w:val="1008"/>
        </w:numPr>
        <w:pStyle w:val="Compact"/>
      </w:pPr>
      <w:r>
        <w:t xml:space="preserve">核心解读：到2030年大型现代化煤矿产能比重87%、智能化煤矿产能比例75%、煤层气产量260亿立方米，目标清晰，利于设备更新、自动化改造和煤层气开发。</w:t>
      </w:r>
    </w:p>
    <w:p>
      <w:pPr>
        <w:numPr>
          <w:ilvl w:val="0"/>
          <w:numId w:val="1008"/>
        </w:numPr>
        <w:pStyle w:val="Compact"/>
      </w:pPr>
      <w:r>
        <w:t xml:space="preserve">验证条件：煤炭设备、工业软件与煤层气至少两个分支同步放量并出现资金净流入；若煤价或板块高开低走，短线逻辑降级。</w:t>
      </w:r>
    </w:p>
    <w:p>
      <w:pPr>
        <w:pStyle w:val="Heading4"/>
      </w:pPr>
      <w:bookmarkStart w:id="31" w:name="各地各部门积极应对白海豚影响"/>
      <w:r>
        <w:t xml:space="preserve">各地各部门积极应对</w:t>
      </w:r>
      <w:r>
        <w:t xml:space="preserve">“</w:t>
      </w:r>
      <w:r>
        <w:t xml:space="preserve">白海豚</w:t>
      </w:r>
      <w:r>
        <w:t xml:space="preserve">”</w:t>
      </w:r>
      <w:r>
        <w:t xml:space="preserve">影响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A股影响：中性</w:t>
      </w:r>
    </w:p>
    <w:p>
      <w:pPr>
        <w:numPr>
          <w:ilvl w:val="0"/>
          <w:numId w:val="1009"/>
        </w:numPr>
        <w:pStyle w:val="Compact"/>
      </w:pPr>
      <w:r>
        <w:t xml:space="preserve">相关板块：水利排涝、道路修复、应急装备、灾后重建；交通文旅承压</w:t>
      </w:r>
    </w:p>
    <w:p>
      <w:pPr>
        <w:numPr>
          <w:ilvl w:val="0"/>
          <w:numId w:val="1009"/>
        </w:numPr>
        <w:pStyle w:val="Compact"/>
      </w:pPr>
      <w:r>
        <w:t xml:space="preserve">核心解读：中央预算内投资2亿元支持浙江灾后恢复，形成道路、水利、学校和医院修复需求，但台风交易持续性通常有限。</w:t>
      </w:r>
    </w:p>
    <w:p>
      <w:pPr>
        <w:numPr>
          <w:ilvl w:val="0"/>
          <w:numId w:val="1009"/>
        </w:numPr>
        <w:pStyle w:val="Compact"/>
      </w:pPr>
      <w:r>
        <w:t xml:space="preserve">验证条件：只跟踪真实项目、订单及板块资金；降雨减弱且无新增项目时，事件交易失效。</w:t>
      </w:r>
    </w:p>
    <w:p>
      <w:pPr>
        <w:pStyle w:val="Heading4"/>
      </w:pPr>
      <w:bookmarkStart w:id="32" w:name="党旗在基层一线高高飘扬风雨中的暖心守护"/>
      <w:r>
        <w:t xml:space="preserve">【党旗在基层一线高高飘扬】风雨中的暖心守护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A股影响：中性</w:t>
      </w:r>
    </w:p>
    <w:p>
      <w:pPr>
        <w:numPr>
          <w:ilvl w:val="0"/>
          <w:numId w:val="1010"/>
        </w:numPr>
        <w:pStyle w:val="Compact"/>
      </w:pPr>
      <w:r>
        <w:t xml:space="preserve">相关板块：应急管理、排涝设备、水产养殖风险管理</w:t>
      </w:r>
    </w:p>
    <w:p>
      <w:pPr>
        <w:numPr>
          <w:ilvl w:val="0"/>
          <w:numId w:val="1010"/>
        </w:numPr>
        <w:pStyle w:val="Compact"/>
      </w:pPr>
      <w:r>
        <w:t xml:space="preserve">核心解读：内容聚焦基层防汛救援与养殖安全，社会意义明确，但没有直接上市公司订单信息。</w:t>
      </w:r>
    </w:p>
    <w:p>
      <w:pPr>
        <w:numPr>
          <w:ilvl w:val="0"/>
          <w:numId w:val="1010"/>
        </w:numPr>
        <w:pStyle w:val="Compact"/>
      </w:pPr>
      <w:r>
        <w:t xml:space="preserve">验证条件：需有灾后采购、保险赔付或养殖恢复数据才重新评估；否则不独立交易。</w:t>
      </w:r>
    </w:p>
    <w:p>
      <w:pPr>
        <w:pStyle w:val="Heading4"/>
      </w:pPr>
      <w:bookmarkStart w:id="33" w:name="文化中国行古文字工程揭开上古历史面纱"/>
      <w:r>
        <w:t xml:space="preserve">【文化中国行】古文字工程揭开上古历史面纱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A股影响：偏利好</w:t>
      </w:r>
    </w:p>
    <w:p>
      <w:pPr>
        <w:numPr>
          <w:ilvl w:val="0"/>
          <w:numId w:val="1011"/>
        </w:numPr>
        <w:pStyle w:val="Compact"/>
      </w:pPr>
      <w:r>
        <w:t xml:space="preserve">相关板块：文化数字化、古籍数字化、AI大模型、博物馆文创</w:t>
      </w:r>
    </w:p>
    <w:p>
      <w:pPr>
        <w:numPr>
          <w:ilvl w:val="0"/>
          <w:numId w:val="1011"/>
        </w:numPr>
        <w:pStyle w:val="Compact"/>
      </w:pPr>
      <w:r>
        <w:t xml:space="preserve">核心解读：</w:t>
      </w:r>
      <w:r>
        <w:t xml:space="preserve">“</w:t>
      </w:r>
      <w:r>
        <w:t xml:space="preserve">十五五</w:t>
      </w:r>
      <w:r>
        <w:t xml:space="preserve">”</w:t>
      </w:r>
      <w:r>
        <w:t xml:space="preserve">主攻方向包括海外古文字资料数字化回归和古文字大模型，利好文化数据治理与专业模型建设，但商业化空间尚待验证。</w:t>
      </w:r>
    </w:p>
    <w:p>
      <w:pPr>
        <w:numPr>
          <w:ilvl w:val="0"/>
          <w:numId w:val="1011"/>
        </w:numPr>
        <w:pStyle w:val="Compact"/>
      </w:pPr>
      <w:r>
        <w:t xml:space="preserve">验证条件：观察国家项目招标、数据平台订单与文化科技板块联动；若无订单，风语筑等相关映射只跟踪、不拔高。</w:t>
      </w:r>
    </w:p>
    <w:p>
      <w:pPr>
        <w:pStyle w:val="Heading4"/>
      </w:pPr>
      <w:bookmarkStart w:id="34" w:name="国内联播快讯"/>
      <w:r>
        <w:t xml:space="preserve">国内联播快讯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A股影响：偏利好</w:t>
      </w:r>
    </w:p>
    <w:p>
      <w:pPr>
        <w:numPr>
          <w:ilvl w:val="0"/>
          <w:numId w:val="1012"/>
        </w:numPr>
        <w:pStyle w:val="Compact"/>
      </w:pPr>
      <w:r>
        <w:t xml:space="preserve">相关板块：互联网服务、文物数字化、中老铁路、水电设备、影视文旅</w:t>
      </w:r>
    </w:p>
    <w:p>
      <w:pPr>
        <w:numPr>
          <w:ilvl w:val="0"/>
          <w:numId w:val="1012"/>
        </w:numPr>
        <w:pStyle w:val="Compact"/>
      </w:pPr>
      <w:r>
        <w:t xml:space="preserve">核心解读：上半年规模以上互联网企业收入10675亿元、同比增长10.1%，利润同比增长16.6%，研发投入同比增长14.1%；中老铁路前7个月进出口货值同比增长29.9%，世界首台500兆瓦冲击式水电机组转子完成吊装，提供数字经济、跨境物流和水电装备线索。</w:t>
      </w:r>
    </w:p>
    <w:p>
      <w:pPr>
        <w:numPr>
          <w:ilvl w:val="0"/>
          <w:numId w:val="1012"/>
        </w:numPr>
        <w:pStyle w:val="Compact"/>
      </w:pPr>
      <w:r>
        <w:t xml:space="preserve">验证条件：方向较分散，必须分别观察业绩、订单、板块资金；不能把快讯集合视为单一主线。</w:t>
      </w:r>
    </w:p>
    <w:p>
      <w:pPr>
        <w:pStyle w:val="Heading4"/>
      </w:pPr>
      <w:bookmarkStart w:id="35" w:name="哥伦比亚发生7.5级强震-进入国家灾难状态"/>
      <w:r>
        <w:t xml:space="preserve">哥伦比亚发生7.5级强震 进入</w:t>
      </w:r>
      <w:r>
        <w:t xml:space="preserve">“</w:t>
      </w:r>
      <w:r>
        <w:t xml:space="preserve">国家灾难状态</w:t>
      </w:r>
      <w:r>
        <w:t xml:space="preserve">”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A股影响：中性</w:t>
      </w:r>
    </w:p>
    <w:p>
      <w:pPr>
        <w:numPr>
          <w:ilvl w:val="0"/>
          <w:numId w:val="1013"/>
        </w:numPr>
        <w:pStyle w:val="Compact"/>
      </w:pPr>
      <w:r>
        <w:t xml:space="preserve">相关板块：国际工程、工程机械存在潜在重建线索</w:t>
      </w:r>
    </w:p>
    <w:p>
      <w:pPr>
        <w:numPr>
          <w:ilvl w:val="0"/>
          <w:numId w:val="1013"/>
        </w:numPr>
        <w:pStyle w:val="Compact"/>
      </w:pPr>
      <w:r>
        <w:t xml:space="preserve">核心解读：地震造成严重人员伤亡和基础设施损坏，但目前没有中国企业参与重建的确认信息，对A股仅为潜在线索。</w:t>
      </w:r>
    </w:p>
    <w:p>
      <w:pPr>
        <w:numPr>
          <w:ilvl w:val="0"/>
          <w:numId w:val="1013"/>
        </w:numPr>
        <w:pStyle w:val="Compact"/>
      </w:pPr>
      <w:r>
        <w:t xml:space="preserve">验证条件：等待正式国际援助或重建项目；没有合同与订单时不交易。</w:t>
      </w:r>
    </w:p>
    <w:p>
      <w:pPr>
        <w:pStyle w:val="Heading4"/>
      </w:pPr>
      <w:bookmarkStart w:id="36" w:name="美称完全控制霍尔木兹海峡-伊朗批评美封锁阻碍海峡恢复通航"/>
      <w:r>
        <w:t xml:space="preserve">美称完全控制霍尔木兹海峡 伊朗批评美封锁阻碍海峡恢复通航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A股影响：偏利空</w:t>
      </w:r>
    </w:p>
    <w:p>
      <w:pPr>
        <w:numPr>
          <w:ilvl w:val="0"/>
          <w:numId w:val="1014"/>
        </w:numPr>
        <w:pStyle w:val="Compact"/>
      </w:pPr>
      <w:r>
        <w:t xml:space="preserve">相关板块：油气、油运可能受益；航空、化工下游和风险资产承压</w:t>
      </w:r>
    </w:p>
    <w:p>
      <w:pPr>
        <w:numPr>
          <w:ilvl w:val="0"/>
          <w:numId w:val="1014"/>
        </w:numPr>
        <w:pStyle w:val="Compact"/>
      </w:pPr>
      <w:r>
        <w:t xml:space="preserve">核心解读：美伊对海峡控制与封锁的表述冲突，通航不确定性维持能源风险溢价；WTI上涨0.62%，但尚不足以确认A股油气全面主升。</w:t>
      </w:r>
    </w:p>
    <w:p>
      <w:pPr>
        <w:numPr>
          <w:ilvl w:val="0"/>
          <w:numId w:val="1014"/>
        </w:numPr>
        <w:pStyle w:val="Compact"/>
      </w:pPr>
      <w:r>
        <w:t xml:space="preserve">验证条件：原油继续走强且A股油气、油运放量共振才确认；海峡恢复稳定通航或油价回落则失效。</w:t>
      </w:r>
    </w:p>
    <w:p>
      <w:pPr>
        <w:pStyle w:val="Heading4"/>
      </w:pPr>
      <w:bookmarkStart w:id="37" w:name="数据显示美国7月平均气温达新高"/>
      <w:r>
        <w:t xml:space="preserve">数据显示美国7月平均气温达新高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A股影响：中性</w:t>
      </w:r>
    </w:p>
    <w:p>
      <w:pPr>
        <w:numPr>
          <w:ilvl w:val="0"/>
          <w:numId w:val="1015"/>
        </w:numPr>
        <w:pStyle w:val="Compact"/>
      </w:pPr>
      <w:r>
        <w:t xml:space="preserve">相关板块：农业、节水灌溉、电力、航运；欧洲内河运输可能承压</w:t>
      </w:r>
    </w:p>
    <w:p>
      <w:pPr>
        <w:numPr>
          <w:ilvl w:val="0"/>
          <w:numId w:val="1015"/>
        </w:numPr>
        <w:pStyle w:val="Compact"/>
      </w:pPr>
      <w:r>
        <w:t xml:space="preserve">核心解读：采集原文仅表述美国大范围地区处于干旱状态，未提供可直接采用的精确占比；欧洲多条河流水量偏低，可能扰动农业灌溉、内河航运和能源生产，但商品价格影响尚未核验。</w:t>
      </w:r>
    </w:p>
    <w:p>
      <w:pPr>
        <w:numPr>
          <w:ilvl w:val="0"/>
          <w:numId w:val="1015"/>
        </w:numPr>
        <w:pStyle w:val="Compact"/>
      </w:pPr>
      <w:r>
        <w:t xml:space="preserve">验证条件：观察农产品、运价、电价及相关A股板块资金；若商品端无反应，不做天气主题追涨。</w:t>
      </w:r>
    </w:p>
    <w:p>
      <w:pPr>
        <w:pStyle w:val="Heading4"/>
      </w:pPr>
      <w:bookmarkStart w:id="38" w:name="国际联播快讯"/>
      <w:r>
        <w:t xml:space="preserve">国际联播快讯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A股影响：偏利空</w:t>
      </w:r>
    </w:p>
    <w:p>
      <w:pPr>
        <w:numPr>
          <w:ilvl w:val="0"/>
          <w:numId w:val="1016"/>
        </w:numPr>
        <w:pStyle w:val="Compact"/>
      </w:pPr>
      <w:r>
        <w:t xml:space="preserve">相关板块：油气、油运、黄金可能受益；全球风险资产、出口链承压</w:t>
      </w:r>
    </w:p>
    <w:p>
      <w:pPr>
        <w:numPr>
          <w:ilvl w:val="0"/>
          <w:numId w:val="1016"/>
        </w:numPr>
        <w:pStyle w:val="Compact"/>
      </w:pPr>
      <w:r>
        <w:t xml:space="preserve">核心解读：也门冲突升级风险、约旦河西岸暴力事件增加及日元再度贬值共同抬高外部不确定性；事件分散，不能直接推导单一A股主线。</w:t>
      </w:r>
    </w:p>
    <w:p>
      <w:pPr>
        <w:numPr>
          <w:ilvl w:val="0"/>
          <w:numId w:val="1016"/>
        </w:numPr>
        <w:pStyle w:val="Compact"/>
      </w:pPr>
      <w:r>
        <w:t xml:space="preserve">验证条件：以原油、黄金、汇率及A股对应板块的同步成交为准；若事件未升级且A50回稳，风险影响减弱。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今日重要公告"/>
      <w:r>
        <w:t xml:space="preserve">📋 今日重要公告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⚠️ 东方财富公告源返回 HTTP 567，增减持、解禁、业绩预告/快报、停复牌、重组、关注函及监管问询均未核验。</w:t>
      </w:r>
    </w:p>
    <w:p>
      <w:pPr>
        <w:numPr>
          <w:ilvl w:val="0"/>
          <w:numId w:val="1017"/>
        </w:numPr>
        <w:pStyle w:val="Compact"/>
      </w:pPr>
      <w:r>
        <w:t xml:space="preserve">🚫</w:t>
      </w:r>
      <w:r>
        <w:t xml:space="preserve"> </w:t>
      </w:r>
      <w:r>
        <w:t xml:space="preserve">“</w:t>
      </w:r>
      <w:r>
        <w:t xml:space="preserve">公告源失败</w:t>
      </w:r>
      <w:r>
        <w:t xml:space="preserve">”</w:t>
      </w:r>
      <w:r>
        <w:t xml:space="preserve">不等于</w:t>
      </w:r>
      <w:r>
        <w:t xml:space="preserve">“</w:t>
      </w:r>
      <w:r>
        <w:t xml:space="preserve">今日没有公告</w:t>
      </w:r>
      <w:r>
        <w:t xml:space="preserve">”</w:t>
      </w:r>
      <w:r>
        <w:t xml:space="preserve">。华泰高换手候选股、自选股和全部实盘持仓在下单前必须复核交易所公告。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今日经济数据事件"/>
      <w:r>
        <w:t xml:space="preserve">📅 今日经济数据/事件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📊 采集 JSON 未提供今日国内 CPI/PPI/PMI、GDP、社融/M2、MLF/LPR/逆回购及海外 CPI、非农、美联储会议的官方日历，本轮统一标记为未核验。</w:t>
      </w:r>
    </w:p>
    <w:p>
      <w:pPr>
        <w:numPr>
          <w:ilvl w:val="0"/>
          <w:numId w:val="1018"/>
        </w:numPr>
        <w:pStyle w:val="Compact"/>
      </w:pPr>
      <w:r>
        <w:t xml:space="preserve">⚠️ 不围绕未经官方日历确认的发布时间提前下注；若盘中出现宏观数据，先核验官方来源，再评估银行、成长、黄金与汇率影响。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全球重要事件"/>
      <w:r>
        <w:t xml:space="preserve">🌍 全球重要事件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🛢️ 霍尔木兹海峡：美伊相互指责，通航安全仍有分歧；WTI报83.716美元/桶、涨0.62%，油服和油运仅列盘前观察，不追高。</w:t>
      </w:r>
    </w:p>
    <w:p>
      <w:pPr>
        <w:numPr>
          <w:ilvl w:val="0"/>
          <w:numId w:val="1019"/>
        </w:numPr>
        <w:pStyle w:val="Compact"/>
      </w:pPr>
      <w:r>
        <w:t xml:space="preserve">🌏 哥伦比亚地震：7.5级强震导致严重伤亡和设施损坏；对A股国际工程的直接订单映射未核验。</w:t>
      </w:r>
    </w:p>
    <w:p>
      <w:pPr>
        <w:numPr>
          <w:ilvl w:val="0"/>
          <w:numId w:val="1019"/>
        </w:numPr>
        <w:pStyle w:val="Compact"/>
      </w:pPr>
      <w:r>
        <w:t xml:space="preserve">🌾 美欧干旱：采集原文确认美国大范围地区干旱，但未给出可直接采用的精确占比；欧洲供水、灌溉、内河航运与能源生产承压，农业、节水与航运影响需商品价格确认。</w:t>
      </w:r>
    </w:p>
    <w:p>
      <w:pPr>
        <w:numPr>
          <w:ilvl w:val="0"/>
          <w:numId w:val="1019"/>
        </w:numPr>
        <w:pStyle w:val="Compact"/>
      </w:pPr>
      <w:r>
        <w:t xml:space="preserve">⚠️ 也门及约旦河西岸局势：地区风险继续抬高，但多事件叠加不等于A股军工、油气必然上涨，必须以价格和资金验证。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昨日复盘要点"/>
      <w:r>
        <w:t xml:space="preserve">📊 昨日复盘要点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📉 上证指数3934.0929点、跌0.8194%；深证成指14259.44点、跌0.4018%；📈 创业板指3549.164点、涨0.3378%；科创50跌1.6269%，沪深300跌0.8132%。五项指数点位与涨跌幅均经三源交叉验证。</w:t>
      </w:r>
    </w:p>
    <w:p>
      <w:pPr>
        <w:numPr>
          <w:ilvl w:val="0"/>
          <w:numId w:val="1020"/>
        </w:numPr>
        <w:pStyle w:val="Compact"/>
      </w:pPr>
      <w:r>
        <w:t xml:space="preserve">📉 同花顺单源显示上涨1615家、下跌3777家、平盘147家，涨停60家、跌停2家，赚钱效应偏弱且分化明显。</w:t>
      </w:r>
    </w:p>
    <w:p>
      <w:pPr>
        <w:numPr>
          <w:ilvl w:val="0"/>
          <w:numId w:val="1020"/>
        </w:numPr>
        <w:pStyle w:val="Compact"/>
      </w:pPr>
      <w:r>
        <w:t xml:space="preserve">💰 同花顺单源确认全市场成交额23355.93亿元；比较口径为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，仅引用原始金额，不使用成交额变化金额或百分比作为仓位证据。</w:t>
      </w:r>
    </w:p>
    <w:p>
      <w:pPr>
        <w:numPr>
          <w:ilvl w:val="0"/>
          <w:numId w:val="1020"/>
        </w:numPr>
        <w:pStyle w:val="Compact"/>
      </w:pPr>
      <w:r>
        <w:t xml:space="preserve">💰 资金流入 TOP10：未核验。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返回 HTTP 502，采集 JSON 没有真实TOP10名称和金额，禁止补写。</w:t>
      </w:r>
    </w:p>
    <w:p>
      <w:pPr>
        <w:numPr>
          <w:ilvl w:val="0"/>
          <w:numId w:val="1020"/>
        </w:numPr>
        <w:pStyle w:val="Compact"/>
      </w:pPr>
      <w:r>
        <w:t xml:space="preserve">⚠️ 资金流出 TOP10：未核验。不得用华泰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的单股筛选结果代替完整榜单。</w:t>
      </w:r>
    </w:p>
    <w:p>
      <w:pPr>
        <w:numPr>
          <w:ilvl w:val="0"/>
          <w:numId w:val="1020"/>
        </w:numPr>
        <w:pStyle w:val="Compact"/>
      </w:pPr>
      <w:r>
        <w:t xml:space="preserve">🎭 市场结构：多数指数回落、科创50领跌，但创业板逆势收红；结合3777家下跌，整体属于偏弱、防御环境，而非普遍成长修复。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3" w:name="今日操作策略"/>
      <w:r>
        <w:t xml:space="preserve">🎯 今日操作策略</w:t>
      </w:r>
      <w:bookmarkEnd w:id="43"/>
    </w:p>
    <w:p>
      <w:pPr>
        <w:numPr>
          <w:ilvl w:val="0"/>
          <w:numId w:val="1021"/>
        </w:numPr>
        <w:pStyle w:val="Compact"/>
      </w:pPr>
      <w:r>
        <w:t xml:space="preserve">📊 市场预判：偏弱震荡、结构轮动。A50跌0.11%，上一交易日3777家下跌，开盘先观察指数是否止跌及候选方向是否有板块共振。</w:t>
      </w:r>
    </w:p>
    <w:p>
      <w:pPr>
        <w:numPr>
          <w:ilvl w:val="0"/>
          <w:numId w:val="1021"/>
        </w:numPr>
        <w:pStyle w:val="Compact"/>
      </w:pPr>
      <w:r>
        <w:t xml:space="preserve">💰 仓位模型：激进40%、均衡25%、保守10%，最高不超过40%；资金流和板块榜恢复前，不扩大高波动题材仓位。</w:t>
      </w:r>
    </w:p>
    <w:p>
      <w:pPr>
        <w:numPr>
          <w:ilvl w:val="0"/>
          <w:numId w:val="1021"/>
        </w:numPr>
        <w:pStyle w:val="Compact"/>
      </w:pPr>
      <w:r>
        <w:t xml:space="preserve">🔥 重点观察：能源安全—油服/电力供给、半导体—被动元件/功率器件、创新药—制剂/CXO。三者均是预案，不是已确认主线。</w:t>
      </w:r>
    </w:p>
    <w:p>
      <w:pPr>
        <w:numPr>
          <w:ilvl w:val="0"/>
          <w:numId w:val="1021"/>
        </w:numPr>
        <w:pStyle w:val="Compact"/>
      </w:pPr>
      <w:r>
        <w:t xml:space="preserve">📈 关注个股：通源石油、麦捷科技、达利凯普、誉衡药业、诚达药业；均来自华泰单源筛选，开盘后必须等待本地行情和板块资金验证。</w:t>
      </w:r>
    </w:p>
    <w:p>
      <w:pPr>
        <w:numPr>
          <w:ilvl w:val="0"/>
          <w:numId w:val="1021"/>
        </w:numPr>
        <w:pStyle w:val="Compact"/>
      </w:pPr>
      <w:r>
        <w:t xml:space="preserve">💡 激进：不超过40%，只在指数企稳、板块放量、核心股回踩承接三项同时满足时参与。</w:t>
      </w:r>
    </w:p>
    <w:p>
      <w:pPr>
        <w:numPr>
          <w:ilvl w:val="0"/>
          <w:numId w:val="1021"/>
        </w:numPr>
        <w:pStyle w:val="Compact"/>
      </w:pPr>
      <w:r>
        <w:t xml:space="preserve">💡 稳健：不超过25%，优先等待首轮分歧结束及资金流榜恢复，再选择政策与价格共振方向。</w:t>
      </w:r>
    </w:p>
    <w:p>
      <w:pPr>
        <w:numPr>
          <w:ilvl w:val="0"/>
          <w:numId w:val="1021"/>
        </w:numPr>
        <w:pStyle w:val="Compact"/>
      </w:pPr>
      <w:r>
        <w:t xml:space="preserve">💡 保守：不超过10%，以现金和银行防御仓为主，不参与高换手候选股的无确认追涨。</w:t>
      </w:r>
    </w:p>
    <w:p>
      <w:pPr>
        <w:numPr>
          <w:ilvl w:val="0"/>
          <w:numId w:val="1021"/>
        </w:numPr>
        <w:pStyle w:val="Compact"/>
      </w:pPr>
      <w:r>
        <w:t xml:space="preserve">⚠️ 风险：指数共振下跌、高换手兑现、地缘消息反转、公告未核验、华泰单源偏差。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4" w:name="今日重点投资方向"/>
      <w:r>
        <w:t xml:space="preserve">🎯 今日重点投资方向</w:t>
      </w:r>
      <w:bookmarkEnd w:id="44"/>
    </w:p>
    <w:p>
      <w:pPr>
        <w:pStyle w:val="Heading3"/>
      </w:pPr>
      <w:bookmarkStart w:id="45" w:name="方向一能源安全油服电力供给优先级中观察"/>
      <w:r>
        <w:t xml:space="preserve">🛢️ 方向一：能源安全—油服/电力供给（优先级：中观察）</w:t>
      </w:r>
      <w:bookmarkEnd w:id="45"/>
    </w:p>
    <w:p>
      <w:pPr>
        <w:numPr>
          <w:ilvl w:val="0"/>
          <w:numId w:val="1022"/>
        </w:numPr>
        <w:pStyle w:val="Compact"/>
      </w:pPr>
      <w:r>
        <w:t xml:space="preserve">📌 证据链：WTI原油83.716美元/桶、涨0.62%；霍尔木兹海峡通航仍有争议；煤炭工业</w:t>
      </w:r>
      <w:r>
        <w:t xml:space="preserve">“</w:t>
      </w:r>
      <w:r>
        <w:t xml:space="preserve">十五五</w:t>
      </w:r>
      <w:r>
        <w:t xml:space="preserve">”</w:t>
      </w:r>
      <w:r>
        <w:t xml:space="preserve">规划给出87%大型现代化煤矿产能和75%智能化煤矿产能目标；华泰单源筛选显示通源石油涨8.97%、主力净流入2.04亿元、换手38.36%，立新能源涨10.01%、主力净流入1.21亿元、换手26.11%。本地板块资金与个股多源行情均未核验。</w:t>
      </w:r>
    </w:p>
    <w:p>
      <w:pPr>
        <w:numPr>
          <w:ilvl w:val="0"/>
          <w:numId w:val="1022"/>
        </w:numPr>
        <w:pStyle w:val="Compact"/>
      </w:pPr>
      <w:r>
        <w:t xml:space="preserve">🔥 核心标的：通源石油（300164，油服高换手强势线索）；立新能源（001258，电力供给强势线索）。两者分属不同细分，仅用于验证能源方向是否扩散。</w:t>
      </w:r>
    </w:p>
    <w:p>
      <w:pPr>
        <w:numPr>
          <w:ilvl w:val="0"/>
          <w:numId w:val="1022"/>
        </w:numPr>
        <w:pStyle w:val="Compact"/>
      </w:pPr>
      <w:r>
        <w:t xml:space="preserve">💡 参与策略：激进只做分歧回踩后的再转强；稳健等待油服或电力至少一个细分获得板块资金净流入；保守等待政策订单或趋势确认。</w:t>
      </w:r>
    </w:p>
    <w:p>
      <w:pPr>
        <w:numPr>
          <w:ilvl w:val="0"/>
          <w:numId w:val="1022"/>
        </w:numPr>
        <w:pStyle w:val="Compact"/>
      </w:pPr>
      <w:r>
        <w:t xml:space="preserve">✅ 触发条件：原油维持强势、对应板块放量、核心股不出现高开低走，且指数止跌。</w:t>
      </w:r>
    </w:p>
    <w:p>
      <w:pPr>
        <w:numPr>
          <w:ilvl w:val="0"/>
          <w:numId w:val="1022"/>
        </w:numPr>
        <w:pStyle w:val="Compact"/>
      </w:pPr>
      <w:r>
        <w:t xml:space="preserve">🚫 失效条件：油价回落、板块资金转为净流出、通源石油或立新能源跌破开盘区间后无承接。</w:t>
      </w:r>
    </w:p>
    <w:p>
      <w:pPr>
        <w:numPr>
          <w:ilvl w:val="0"/>
          <w:numId w:val="1022"/>
        </w:numPr>
        <w:pStyle w:val="Compact"/>
      </w:pPr>
      <w:r>
        <w:t xml:space="preserve">⚠️ 风险：两只候选昨日换手均高于26%，兑现风险显著；煤炭智能化政策不能直接等同于油服或新能源个股受益。</w:t>
      </w:r>
    </w:p>
    <w:p>
      <w:pPr>
        <w:pStyle w:val="Heading3"/>
      </w:pPr>
      <w:bookmarkStart w:id="46" w:name="方向二半导体被动元件功率器件优先级观察"/>
      <w:r>
        <w:t xml:space="preserve">💻 方向二：半导体—被动元件/功率器件（优先级：观察）</w:t>
      </w:r>
      <w:bookmarkEnd w:id="46"/>
    </w:p>
    <w:p>
      <w:pPr>
        <w:numPr>
          <w:ilvl w:val="0"/>
          <w:numId w:val="1023"/>
        </w:numPr>
        <w:pStyle w:val="Compact"/>
      </w:pPr>
      <w:r>
        <w:t xml:space="preserve">📌 证据链：华泰市场洞察把半导体列为盘前线索；华泰单源筛选显示达利凯普涨13.21%、主力净流入2.06亿元、换手30.84%，麦捷科技涨7.62%、主力净流入3.38亿元、换手22.64%，锴威特涨0.89%、主力净流入5406.09万元、换手19.19%；但科创50昨日跌1.6269%，且本地板块表现、资金榜和多源个股行情均缺失，因此只列观察。</w:t>
      </w:r>
    </w:p>
    <w:p>
      <w:pPr>
        <w:numPr>
          <w:ilvl w:val="0"/>
          <w:numId w:val="1023"/>
        </w:numPr>
        <w:pStyle w:val="Compact"/>
      </w:pPr>
      <w:r>
        <w:t xml:space="preserve">🔥 核心标的：达利凯普（301566，高涨幅高换手线索）；麦捷科技（300319，三者中主力净流入金额最高）；锴威特（688693，功率半导体观察样本但涨幅较弱）。</w:t>
      </w:r>
    </w:p>
    <w:p>
      <w:pPr>
        <w:numPr>
          <w:ilvl w:val="0"/>
          <w:numId w:val="1023"/>
        </w:numPr>
        <w:pStyle w:val="Compact"/>
      </w:pPr>
      <w:r>
        <w:t xml:space="preserve">💡 参与策略：激进等待高换手票回踩承接；稳健只做板块放量且三只中至少两只同步强于指数；保守等待科创50止跌和资金流恢复。</w:t>
      </w:r>
    </w:p>
    <w:p>
      <w:pPr>
        <w:numPr>
          <w:ilvl w:val="0"/>
          <w:numId w:val="1023"/>
        </w:numPr>
        <w:pStyle w:val="Compact"/>
      </w:pPr>
      <w:r>
        <w:t xml:space="preserve">✅ 触发条件：科创50不再领跌、半导体细分放量、核心股回踩开盘价附近获得承接。</w:t>
      </w:r>
    </w:p>
    <w:p>
      <w:pPr>
        <w:numPr>
          <w:ilvl w:val="0"/>
          <w:numId w:val="1023"/>
        </w:numPr>
        <w:pStyle w:val="Compact"/>
      </w:pPr>
      <w:r>
        <w:t xml:space="preserve">🚫 失效条件：科创50继续显著弱于大盘、板块扩散失败，或高换手候选冲高回落。</w:t>
      </w:r>
    </w:p>
    <w:p>
      <w:pPr>
        <w:numPr>
          <w:ilvl w:val="0"/>
          <w:numId w:val="1023"/>
        </w:numPr>
        <w:pStyle w:val="Compact"/>
      </w:pPr>
      <w:r>
        <w:t xml:space="preserve">⚠️ 风险：当前主要证据来自华泰单源，不能把个股强势筛选直接外推为板块主线。</w:t>
      </w:r>
    </w:p>
    <w:p>
      <w:pPr>
        <w:pStyle w:val="Heading3"/>
      </w:pPr>
      <w:bookmarkStart w:id="47" w:name="方向三创新药制剂cxo优先级观察"/>
      <w:r>
        <w:t xml:space="preserve">💊 方向三：创新药—制剂/CXO（优先级：观察）</w:t>
      </w:r>
      <w:bookmarkEnd w:id="47"/>
    </w:p>
    <w:p>
      <w:pPr>
        <w:numPr>
          <w:ilvl w:val="0"/>
          <w:numId w:val="1024"/>
        </w:numPr>
        <w:pStyle w:val="Compact"/>
      </w:pPr>
      <w:r>
        <w:t xml:space="preserve">📌 证据链：社保与长期护理制度完善构成医疗服务长期需求背景；华泰市场洞察把创新药列为关注线索；华泰单源筛选显示誉衡药业涨2.33%、主力净流入9813.23万元、换手28.09%，诚达药业涨9.88%、主力净流入5947.48万元、换手25.63%；本地医药板块涨幅、成交额与资金榜未核验。</w:t>
      </w:r>
    </w:p>
    <w:p>
      <w:pPr>
        <w:numPr>
          <w:ilvl w:val="0"/>
          <w:numId w:val="1024"/>
        </w:numPr>
        <w:pStyle w:val="Compact"/>
      </w:pPr>
      <w:r>
        <w:t xml:space="preserve">🔥 核心标的：誉衡药业（002437，主力净流入规模较高但涨幅温和）；诚达药业（301201，涨幅较强但换手较高）。</w:t>
      </w:r>
    </w:p>
    <w:p>
      <w:pPr>
        <w:numPr>
          <w:ilvl w:val="0"/>
          <w:numId w:val="1024"/>
        </w:numPr>
        <w:pStyle w:val="Compact"/>
      </w:pPr>
      <w:r>
        <w:t xml:space="preserve">💡 参与策略：激进只看回踩承接后的二次走强；稳健等待医药板块强于指数且资金净流入；保守只跟踪有公告或业绩催化的公司。</w:t>
      </w:r>
    </w:p>
    <w:p>
      <w:pPr>
        <w:numPr>
          <w:ilvl w:val="0"/>
          <w:numId w:val="1024"/>
        </w:numPr>
        <w:pStyle w:val="Compact"/>
      </w:pPr>
      <w:r>
        <w:t xml:space="preserve">✅ 触发条件：医药板块放量、两只候选至少一只回踩不破开盘区间并带动扩散、指数不继续下探。</w:t>
      </w:r>
    </w:p>
    <w:p>
      <w:pPr>
        <w:numPr>
          <w:ilvl w:val="0"/>
          <w:numId w:val="1024"/>
        </w:numPr>
        <w:pStyle w:val="Compact"/>
      </w:pPr>
      <w:r>
        <w:t xml:space="preserve">🚫 失效条件：板块冲高回落、资金恢复后显示净流出，或候选股高开低走且无承接。</w:t>
      </w:r>
    </w:p>
    <w:p>
      <w:pPr>
        <w:numPr>
          <w:ilvl w:val="0"/>
          <w:numId w:val="1024"/>
        </w:numPr>
        <w:pStyle w:val="Compact"/>
      </w:pPr>
      <w:r>
        <w:t xml:space="preserve">⚠️ 风险：政策到上市公司利润传导周期长，公告源失败，高换手个股可能快速兑现。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8" w:name="华泰自选股观察"/>
      <w:r>
        <w:t xml:space="preserve">🧾 华泰自选股观察</w:t>
      </w:r>
      <w:bookmarkEnd w:id="48"/>
    </w:p>
    <w:p>
      <w:pPr>
        <w:pStyle w:val="FirstParagraph"/>
      </w:pPr>
      <w:r>
        <w:t xml:space="preserve">华泰自选股共3只，行情样本全部取得，但均为华泰单源，未获新浪、东方财富、腾讯交叉校验。工商银行偏防御；弘元绿能和风语筑未与今日三条候选方向形成明确共振，整体以跟踪为主、暂不作为主攻方向。</w:t>
      </w:r>
    </w:p>
    <w:p>
      <w:pPr>
        <w:numPr>
          <w:ilvl w:val="0"/>
          <w:numId w:val="1025"/>
        </w:numPr>
        <w:pStyle w:val="Compact"/>
      </w:pPr>
      <w:r>
        <w:t xml:space="preserve">📈 603185 弘元绿能：最新17.25元、涨2.07%，前收16.90元；属于光伏硅片/新能源方向，与能源安全中的传统油服、电力供给仅有弱关联，与已列候选主线无明确共振。判断：继续观察、不追高；只有光伏板块放量且个股回踩16.90元上方获得承接，才可低吸跟踪。</w:t>
      </w:r>
    </w:p>
    <w:p>
      <w:pPr>
        <w:numPr>
          <w:ilvl w:val="0"/>
          <w:numId w:val="1025"/>
        </w:numPr>
        <w:pStyle w:val="Compact"/>
      </w:pPr>
      <w:r>
        <w:t xml:space="preserve">📈 603466 风语筑：最新11.34元、涨0.53%，前收11.28元；属于数字展示/文化科技，与古文字数字化存在政策弱映射，但板块资金和成交未核验。判断：偏弱修复，以跟踪为主、暂不作为主攻方向；放量站稳11.28元并出现文化科技共振后再评估。</w:t>
      </w:r>
    </w:p>
    <w:p>
      <w:pPr>
        <w:numPr>
          <w:ilvl w:val="0"/>
          <w:numId w:val="1025"/>
        </w:numPr>
        <w:pStyle w:val="Compact"/>
      </w:pPr>
      <w:r>
        <w:t xml:space="preserve">📈 601398 工商银行：最新7.60元、涨0.93%，前收7.53元；属于银行高股息防御，与能源、半导体、创新药主线不共振，但契合偏弱/防御市场风格。判断：偏稳健、继续持有观察，不在加速拉升时追高。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9" w:name="用户实盘持仓策略"/>
      <w:r>
        <w:t xml:space="preserve">💼 用户实盘持仓策略</w:t>
      </w:r>
      <w:bookmarkEnd w:id="49"/>
    </w:p>
    <w:p>
      <w:pPr>
        <w:pStyle w:val="BlockText"/>
      </w:pPr>
      <w:r>
        <w:t xml:space="preserve">行情口径：弘元绿能、风语筑、工商银行使用采集 JSON 中的华泰补充单源报价；农业银行未取得最新行情。成本和数量来自用户提供信息。日K、均线、成交量、可靠技术支撑阻力及公司公告未完整核验，因此只用前收与最新价设置条件，不虚构技术位。</w:t>
      </w:r>
    </w:p>
    <w:p>
      <w:pPr>
        <w:pStyle w:val="Heading3"/>
      </w:pPr>
      <w:bookmarkStart w:id="50" w:name="弘元绿能300股成本26.6669元"/>
      <w:r>
        <w:t xml:space="preserve">📉 603185 弘元绿能｜300股｜成本26.6669元</w:t>
      </w:r>
      <w:bookmarkEnd w:id="50"/>
    </w:p>
    <w:p>
      <w:pPr>
        <w:numPr>
          <w:ilvl w:val="0"/>
          <w:numId w:val="1026"/>
        </w:numPr>
        <w:pStyle w:val="Compact"/>
      </w:pPr>
      <w:r>
        <w:t xml:space="preserve">📊 最新可得价17.25元，浮亏35.31%、浮亏2825.07元；上一交易日涨2.07%，但光伏没有本地板块资金与成交确认。</w:t>
      </w:r>
    </w:p>
    <w:p>
      <w:pPr>
        <w:numPr>
          <w:ilvl w:val="0"/>
          <w:numId w:val="1026"/>
        </w:numPr>
        <w:pStyle w:val="Compact"/>
      </w:pPr>
      <w:r>
        <w:t xml:space="preserve">💡 今日动作：最该减仓观察，不无条件补仓。若开盘后跌破16.90元且不能快速收回，或反弹明显弱于光伏板块，分批减仓；若冲高但板块不跟随，也利用反弹降低单票风险。</w:t>
      </w:r>
    </w:p>
    <w:p>
      <w:pPr>
        <w:numPr>
          <w:ilvl w:val="0"/>
          <w:numId w:val="1026"/>
        </w:numPr>
        <w:pStyle w:val="Compact"/>
      </w:pPr>
      <w:r>
        <w:t xml:space="preserve">📈 支撑/阻力：16.90元仅为可确认的前收观察位，17.25元为最新参考；真实技术支撑、上方压力和量价结构未核验。</w:t>
      </w:r>
    </w:p>
    <w:p>
      <w:pPr>
        <w:numPr>
          <w:ilvl w:val="0"/>
          <w:numId w:val="1026"/>
        </w:numPr>
        <w:pStyle w:val="Compact"/>
      </w:pPr>
      <w:r>
        <w:t xml:space="preserve">✅ 条件加仓：当前不主动加仓；只有光伏板块放量转强、个股回踩16.90元上方获得承接、且行情得到多源确认后，才重新评估小仓加回。</w:t>
      </w:r>
    </w:p>
    <w:p>
      <w:pPr>
        <w:numPr>
          <w:ilvl w:val="0"/>
          <w:numId w:val="1026"/>
        </w:numPr>
        <w:pStyle w:val="Compact"/>
      </w:pPr>
      <w:r>
        <w:t xml:space="preserve">🚫 失效条件：持续失守16.90元、相对光伏板块转弱，或复核发现业绩、减持等不利公告。</w:t>
      </w:r>
    </w:p>
    <w:p>
      <w:pPr>
        <w:numPr>
          <w:ilvl w:val="0"/>
          <w:numId w:val="1026"/>
        </w:numPr>
        <w:pStyle w:val="Compact"/>
      </w:pPr>
      <w:r>
        <w:t xml:space="preserve">⚠️ 风险：深度浮亏、趋势信息不全、主线不共振；无条件摊薄会继续放大单票风险。</w:t>
      </w:r>
    </w:p>
    <w:p>
      <w:pPr>
        <w:pStyle w:val="Heading3"/>
      </w:pPr>
      <w:bookmarkStart w:id="51" w:name="风语筑700股成本13.2159元"/>
      <w:r>
        <w:t xml:space="preserve">📉 603466 风语筑｜700股｜成本13.2159元</w:t>
      </w:r>
      <w:bookmarkEnd w:id="51"/>
    </w:p>
    <w:p>
      <w:pPr>
        <w:numPr>
          <w:ilvl w:val="0"/>
          <w:numId w:val="1027"/>
        </w:numPr>
        <w:pStyle w:val="Compact"/>
      </w:pPr>
      <w:r>
        <w:t xml:space="preserve">📊 最新可得价11.34元，浮亏14.19%、浮亏1313.13元；上一交易日涨0.53%，文化数字化仅有政策弱映射。</w:t>
      </w:r>
    </w:p>
    <w:p>
      <w:pPr>
        <w:numPr>
          <w:ilvl w:val="0"/>
          <w:numId w:val="1027"/>
        </w:numPr>
        <w:pStyle w:val="Compact"/>
      </w:pPr>
      <w:r>
        <w:t xml:space="preserve">💡 今日动作：持有观察、反弹减仓优先。若跌破11.28元后不能收回且文化科技/数字展示无板块共振，分批减仓；若放量站稳11.28元并扩散，继续观察承接。</w:t>
      </w:r>
    </w:p>
    <w:p>
      <w:pPr>
        <w:numPr>
          <w:ilvl w:val="0"/>
          <w:numId w:val="1027"/>
        </w:numPr>
        <w:pStyle w:val="Compact"/>
      </w:pPr>
      <w:r>
        <w:t xml:space="preserve">📈 支撑/阻力：11.28元为前收观察位，11.34元为最新参考；更高压力和有效技术支撑未核验。</w:t>
      </w:r>
    </w:p>
    <w:p>
      <w:pPr>
        <w:numPr>
          <w:ilvl w:val="0"/>
          <w:numId w:val="1027"/>
        </w:numPr>
        <w:pStyle w:val="Compact"/>
      </w:pPr>
      <w:r>
        <w:t xml:space="preserve">✅ 条件加仓：仅在文化科技形成明确主线、个股放量突破早盘区间并回踩确认后考虑，不为降低成本补仓。</w:t>
      </w:r>
    </w:p>
    <w:p>
      <w:pPr>
        <w:numPr>
          <w:ilvl w:val="0"/>
          <w:numId w:val="1027"/>
        </w:numPr>
        <w:pStyle w:val="Compact"/>
      </w:pPr>
      <w:r>
        <w:t xml:space="preserve">🚫 失效条件：持续低于11.28元、相对所属板块走弱，或复核发现业绩、减持、监管风险。</w:t>
      </w:r>
    </w:p>
    <w:p>
      <w:pPr>
        <w:numPr>
          <w:ilvl w:val="0"/>
          <w:numId w:val="1027"/>
        </w:numPr>
        <w:pStyle w:val="Compact"/>
      </w:pPr>
      <w:r>
        <w:t xml:space="preserve">⚠️ 风险：题材轮动快、公告源失败、行情仅华泰单源。</w:t>
      </w:r>
    </w:p>
    <w:p>
      <w:pPr>
        <w:pStyle w:val="Heading3"/>
      </w:pPr>
      <w:bookmarkStart w:id="52" w:name="工商银行1900股成本7.0601元"/>
      <w:r>
        <w:t xml:space="preserve">📈 601398 工商银行｜1900股｜成本7.0601元</w:t>
      </w:r>
      <w:bookmarkEnd w:id="52"/>
    </w:p>
    <w:p>
      <w:pPr>
        <w:numPr>
          <w:ilvl w:val="0"/>
          <w:numId w:val="1028"/>
        </w:numPr>
        <w:pStyle w:val="Compact"/>
      </w:pPr>
      <w:r>
        <w:t xml:space="preserve">📊 最新可得价7.60元，浮盈7.65%、浮盈1025.81元；上一交易日涨0.93%，属于银行高股息防御，是当前最稳健持有标的。</w:t>
      </w:r>
    </w:p>
    <w:p>
      <w:pPr>
        <w:numPr>
          <w:ilvl w:val="0"/>
          <w:numId w:val="1028"/>
        </w:numPr>
        <w:pStyle w:val="Compact"/>
      </w:pPr>
      <w:r>
        <w:t xml:space="preserve">💡 今日动作：继续持有并保护利润。守住7.53元且银行板块不转弱可持有；若跌破7.53元后不能收回、银行同步走弱，分批减仓锁定收益。</w:t>
      </w:r>
    </w:p>
    <w:p>
      <w:pPr>
        <w:numPr>
          <w:ilvl w:val="0"/>
          <w:numId w:val="1028"/>
        </w:numPr>
        <w:pStyle w:val="Compact"/>
      </w:pPr>
      <w:r>
        <w:t xml:space="preserve">📈 支撑/阻力：7.53元为前收观察位，7.60元为最新参考；更高阻力与日K支撑未核验。</w:t>
      </w:r>
    </w:p>
    <w:p>
      <w:pPr>
        <w:numPr>
          <w:ilvl w:val="0"/>
          <w:numId w:val="1028"/>
        </w:numPr>
        <w:pStyle w:val="Compact"/>
      </w:pPr>
      <w:r>
        <w:t xml:space="preserve">✅ 条件加仓：仅在银行板块放量走强、个股突破早盘区间后回踩确认、上证指数止跌时小仓加仓；不在拉升加速段追高。</w:t>
      </w:r>
    </w:p>
    <w:p>
      <w:pPr>
        <w:numPr>
          <w:ilvl w:val="0"/>
          <w:numId w:val="1028"/>
        </w:numPr>
        <w:pStyle w:val="Compact"/>
      </w:pPr>
      <w:r>
        <w:t xml:space="preserve">🚫 失效条件：失守7.53元且无承接，或高股息交易集中兑现。</w:t>
      </w:r>
    </w:p>
    <w:p>
      <w:pPr>
        <w:numPr>
          <w:ilvl w:val="0"/>
          <w:numId w:val="1028"/>
        </w:numPr>
        <w:pStyle w:val="Compact"/>
      </w:pPr>
      <w:r>
        <w:t xml:space="preserve">⚠️ 风险：市场风格切回高弹性成长时可能相对跑输，盈利仓仍会回撤。</w:t>
      </w:r>
    </w:p>
    <w:p>
      <w:pPr>
        <w:pStyle w:val="Heading3"/>
      </w:pPr>
      <w:bookmarkStart w:id="53" w:name="农业银行5300股成本6.4244元"/>
      <w:r>
        <w:t xml:space="preserve">⚠️ 601288 农业银行｜5300股｜成本6.4244元</w:t>
      </w:r>
      <w:bookmarkEnd w:id="53"/>
    </w:p>
    <w:p>
      <w:pPr>
        <w:numPr>
          <w:ilvl w:val="0"/>
          <w:numId w:val="1029"/>
        </w:numPr>
        <w:pStyle w:val="Compact"/>
      </w:pPr>
      <w:r>
        <w:t xml:space="preserve">📊 最新价、涨跌幅及当前盈亏幅度未核验，禁止沿用历史报价或虚构浮盈浮亏；成本本金为34049.32元，仅用于风险敞口识别，不代表当前市值。</w:t>
      </w:r>
    </w:p>
    <w:p>
      <w:pPr>
        <w:numPr>
          <w:ilvl w:val="0"/>
          <w:numId w:val="1029"/>
        </w:numPr>
        <w:pStyle w:val="Compact"/>
      </w:pPr>
      <w:r>
        <w:t xml:space="preserve">💡 今日动作：持有观察，待开盘取得可靠行情后再决策。若银行板块转弱且个股跌破当日开盘区间后无法收回，可分批减仓；若银行保持防御强势，可继续持有。</w:t>
      </w:r>
    </w:p>
    <w:p>
      <w:pPr>
        <w:numPr>
          <w:ilvl w:val="0"/>
          <w:numId w:val="1029"/>
        </w:numPr>
        <w:pStyle w:val="Compact"/>
      </w:pPr>
      <w:r>
        <w:t xml:space="preserve">📈 支撑/阻力：可靠价格数据和日K缺失，具体支撑阻力未核验；使用</w:t>
      </w:r>
      <w:r>
        <w:t xml:space="preserve">“</w:t>
      </w:r>
      <w:r>
        <w:t xml:space="preserve">开盘区间、板块相对强弱、是否放量</w:t>
      </w:r>
      <w:r>
        <w:t xml:space="preserve">”</w:t>
      </w:r>
      <w:r>
        <w:t xml:space="preserve">作为条件替代。</w:t>
      </w:r>
    </w:p>
    <w:p>
      <w:pPr>
        <w:numPr>
          <w:ilvl w:val="0"/>
          <w:numId w:val="1029"/>
        </w:numPr>
        <w:pStyle w:val="Compact"/>
      </w:pPr>
      <w:r>
        <w:t xml:space="preserve">✅ 条件加仓：仅在取得可靠行情后，满足</w:t>
      </w:r>
      <w:r>
        <w:t xml:space="preserve">“</w:t>
      </w:r>
      <w:r>
        <w:t xml:space="preserve">银行板块放量走强+个股突破早盘区间并回踩确认+上证指数止跌</w:t>
      </w:r>
      <w:r>
        <w:t xml:space="preserve">”</w:t>
      </w:r>
      <w:r>
        <w:t xml:space="preserve">才可小仓加仓；禁止无条件摊薄。</w:t>
      </w:r>
    </w:p>
    <w:p>
      <w:pPr>
        <w:numPr>
          <w:ilvl w:val="0"/>
          <w:numId w:val="1029"/>
        </w:numPr>
        <w:pStyle w:val="Compact"/>
      </w:pPr>
      <w:r>
        <w:t xml:space="preserve">🚫 失效条件：银行板块共振走弱、个股跌破开盘区间后无承接，或复核发现重大不利公告。</w:t>
      </w:r>
    </w:p>
    <w:p>
      <w:pPr>
        <w:numPr>
          <w:ilvl w:val="0"/>
          <w:numId w:val="1029"/>
        </w:numPr>
        <w:pStyle w:val="Compact"/>
      </w:pPr>
      <w:r>
        <w:t xml:space="preserve">⚠️ 风险：当前行情缺失，无法计算盈亏缓冲；农业银行持股数量较大，错误使用旧价格会放大决策偏差。</w:t>
      </w:r>
    </w:p>
    <w:p>
      <w:pPr>
        <w:pStyle w:val="FirstParagraph"/>
      </w:pPr>
      <w:r>
        <w:t xml:space="preserve">📊 三只具备最新单源报价的持仓合计市值27553.00元、合计浮亏3112.39元；该小计不含农业银行，不能代表完整组合盈亏。风险优先级为弘元绿能、风语筑；工商银行最稳健持有；农业银行只有取得可靠价格并满足板块、价格和量能条件后才可加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4" w:name="盘前风险清单"/>
      <w:r>
        <w:t xml:space="preserve">⚠️ 盘前风险清单</w:t>
      </w:r>
      <w:bookmarkEnd w:id="54"/>
    </w:p>
    <w:p>
      <w:pPr>
        <w:numPr>
          <w:ilvl w:val="0"/>
          <w:numId w:val="1030"/>
        </w:numPr>
        <w:pStyle w:val="Compact"/>
      </w:pPr>
      <w:r>
        <w:t xml:space="preserve">🚫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、</w:t>
      </w:r>
      <w:r>
        <w:rPr>
          <w:rStyle w:val="VerbatimChar"/>
        </w:rPr>
        <w:t xml:space="preserve">sector_performance</w:t>
      </w:r>
      <w:r>
        <w:t xml:space="preserve">、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均失败，任何候选方向都不能写成已确认主线。</w:t>
      </w:r>
    </w:p>
    <w:p>
      <w:pPr>
        <w:numPr>
          <w:ilvl w:val="0"/>
          <w:numId w:val="1030"/>
        </w:numPr>
        <w:pStyle w:val="Compact"/>
      </w:pPr>
      <w:r>
        <w:t xml:space="preserve">⚠️ 资金流入TOP10和资金流出TOP10均未核验，华泰单股筛选不能替代完整资金榜。</w:t>
      </w:r>
    </w:p>
    <w:p>
      <w:pPr>
        <w:numPr>
          <w:ilvl w:val="0"/>
          <w:numId w:val="1030"/>
        </w:numPr>
        <w:pStyle w:val="Compact"/>
      </w:pPr>
      <w:r>
        <w:t xml:space="preserve">⚠️ 全市场成交额比较口径为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，仅引用23355.93亿元原始金额，不引用变化金额或百分比。</w:t>
      </w:r>
    </w:p>
    <w:p>
      <w:pPr>
        <w:numPr>
          <w:ilvl w:val="0"/>
          <w:numId w:val="1030"/>
        </w:numPr>
        <w:pStyle w:val="Compact"/>
      </w:pPr>
      <w:r>
        <w:t xml:space="preserve">⚠️ 公告源失败，高换手候选股与全部实盘持仓交易前必须人工复核交易所公告。</w:t>
      </w:r>
    </w:p>
    <w:p>
      <w:pPr>
        <w:numPr>
          <w:ilvl w:val="0"/>
          <w:numId w:val="1030"/>
        </w:numPr>
        <w:pStyle w:val="Compact"/>
      </w:pPr>
      <w:r>
        <w:t xml:space="preserve">🚫 若上证继续下探、A50走弱且候选板块无资金扩散，应主动降低仓位，不以政策或地缘预案对抗价格信号。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生成时间：2026-08-12 08:30（北京时间，Asia/Shanghai）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2026-08-12T00:36:58Z</dcterms:created>
  <dcterms:modified xsi:type="dcterms:W3CDTF">2026-08-12T00:36:58Z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