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1周二"/>
      <w:r>
        <w:t xml:space="preserve">🌅 盘前简报 | 2026-08-11（周二）</w:t>
      </w:r>
      <w:bookmarkEnd w:id="20"/>
    </w:p>
    <w:p>
      <w:pPr>
        <w:pStyle w:val="BlockText"/>
      </w:pPr>
      <w:r>
        <w:t xml:space="preserve">数据说明：本报告以 2026-08-11 08:30 采集 JSON 为主。关键源覆盖率为 3/7（42.86%）；指数经新浪、东方财富、腾讯三源交叉验证，涨跌家数和全市场成交额为同花顺单源。资金流、板块表现、活跃个股、涨跌停样本、公告和核心个股多源校验失败，相关内容均降级为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，不补写缺失榜单。农业银行行情为写稿阶段华泰模拟行情补充单源。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港股：恒生指数 8 月 10 日收于 25668.031 点，涨 1.05%；这是昨日收盘数据，今日 08:30 港股尚未开盘。</w:t>
      </w:r>
    </w:p>
    <w:p>
      <w:pPr>
        <w:numPr>
          <w:ilvl w:val="0"/>
          <w:numId w:val="1001"/>
        </w:numPr>
        <w:pStyle w:val="Compact"/>
      </w:pPr>
      <w:r>
        <w:t xml:space="preserve">📉 富时中国 A50 期指：15008.24 点，跌 0.24%，对 A 股开盘情绪构成轻微压制。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美元离岸人民币：6.7457，跌 0.01%，人民币盘前波动有限。</w:t>
      </w:r>
    </w:p>
    <w:p>
      <w:pPr>
        <w:numPr>
          <w:ilvl w:val="0"/>
          <w:numId w:val="1001"/>
        </w:numPr>
        <w:pStyle w:val="Compact"/>
      </w:pPr>
      <w:r>
        <w:t xml:space="preserve">📈 COMEX 黄金：4472.74 美元/盎司，涨 1.20%；📈 WTI 原油：82.212 美元/桶，涨 0.10%；伦铜 14159.54，涨跌幅显示为 -0.00%，视为基本持平。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美股三大指数、重点中概股和欧洲主要股指具体数值未进入采集 JSON，本轮未核验；华泰文本对隔夜科技股的描述只作为风险线索，不替代结构化行情。</w:t>
      </w:r>
    </w:p>
    <w:p>
      <w:pPr>
        <w:pStyle w:val="FirstParagraph"/>
      </w:pPr>
      <w:r>
        <w:t xml:space="preserve">💡 盘前含义：黄金显著走强、A50小幅回落，外围信号偏向</w:t>
      </w:r>
      <w:r>
        <w:t xml:space="preserve">“</w:t>
      </w:r>
      <w:r>
        <w:t xml:space="preserve">避险升温、风险偏好受约束</w:t>
      </w:r>
      <w:r>
        <w:t xml:space="preserve">”</w:t>
      </w:r>
      <w:r>
        <w:t xml:space="preserve">。A股仍主要围绕昨日普涨后的分化、4000点附近压力以及国内政策线索定价。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 央视来源完整：播出日期 2026-08-10，目录 14 条、详情成功 14 条，采集时间 2026-08-11 08:30:07；央视来源页与本地存档均已确认。</w:t>
      </w:r>
    </w:p>
    <w:p>
      <w:pPr>
        <w:numPr>
          <w:ilvl w:val="0"/>
          <w:numId w:val="1002"/>
        </w:numPr>
        <w:pStyle w:val="Compact"/>
      </w:pPr>
      <w:r>
        <w:t xml:space="preserve">🚀 最清晰的中期政策主线是城乡融合与公共基础设施：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规划建设 9 项重大工程，覆盖农村道路、供水管网、数字乡村和快递进村，映射水利管网、冷链物流、乡村数字化与农产品加工。</w:t>
      </w:r>
    </w:p>
    <w:p>
      <w:pPr>
        <w:numPr>
          <w:ilvl w:val="0"/>
          <w:numId w:val="1002"/>
        </w:numPr>
        <w:pStyle w:val="Compact"/>
      </w:pPr>
      <w:r>
        <w:t xml:space="preserve">🏭 产业升级信号来自</w:t>
      </w:r>
      <w:r>
        <w:t xml:space="preserve">“</w:t>
      </w:r>
      <w:r>
        <w:t xml:space="preserve">共享工厂+产业大脑</w:t>
      </w:r>
      <w:r>
        <w:t xml:space="preserve">”</w:t>
      </w:r>
      <w:r>
        <w:t xml:space="preserve">：河北计划到 2027 年建成 30 个省级行业产业大脑，实现 107 个重点产业集群数字化服务全覆盖，利好工业互联网、供应链数字化与智能制造服务。</w:t>
      </w:r>
    </w:p>
    <w:p>
      <w:pPr>
        <w:numPr>
          <w:ilvl w:val="0"/>
          <w:numId w:val="1002"/>
        </w:numPr>
        <w:pStyle w:val="Compact"/>
      </w:pPr>
      <w:r>
        <w:t xml:space="preserve">📊 7 月消费、工业和新基建先行指标向好，其中人工智能相关专利授权量同比增长六成，算力、数据、网络项目中标金额同比保持增长；但本地板块和资金榜缺失，政策利好尚不能等同于今日主线确认。</w:t>
      </w:r>
    </w:p>
    <w:p>
      <w:pPr>
        <w:numPr>
          <w:ilvl w:val="0"/>
          <w:numId w:val="1002"/>
        </w:numPr>
        <w:pStyle w:val="Compact"/>
      </w:pPr>
      <w:r>
        <w:t xml:space="preserve">⚠️ 台风灾后修复与中东冲突提高水利应急、黄金、油气的事件敏感度；黄金已涨 1.20%，追高风险同步上升，必须等待A股板块资金验证。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加快构建城乡融合发展新格局"/>
      <w:r>
        <w:t xml:space="preserve">【新思想引领新征程】加快构建城乡融合发展新格局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A股影响：利好</w:t>
      </w:r>
    </w:p>
    <w:p>
      <w:pPr>
        <w:numPr>
          <w:ilvl w:val="0"/>
          <w:numId w:val="1003"/>
        </w:numPr>
        <w:pStyle w:val="Compact"/>
      </w:pPr>
      <w:r>
        <w:t xml:space="preserve">相关板块：水利管网、冷链物流、农产品加工、数字乡村、乡村文旅</w:t>
      </w:r>
    </w:p>
    <w:p>
      <w:pPr>
        <w:numPr>
          <w:ilvl w:val="0"/>
          <w:numId w:val="1003"/>
        </w:numPr>
        <w:pStyle w:val="Compact"/>
      </w:pPr>
      <w:r>
        <w:t xml:space="preserve">核心解读：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规划建设 9 项重大工程，城乡水网改造覆盖超过 30 万农村人口；政策力度高于例行表态，具备工程投资和产业培育双重传导。</w:t>
      </w:r>
    </w:p>
    <w:p>
      <w:pPr>
        <w:numPr>
          <w:ilvl w:val="0"/>
          <w:numId w:val="1003"/>
        </w:numPr>
        <w:pStyle w:val="Compact"/>
      </w:pPr>
      <w:r>
        <w:t xml:space="preserve">验证条件：水利、冷链和数字乡村至少两个环节同步放量并获得资金净流入；若仅个股高开、板块无扩散，则降级为中期观察。</w:t>
      </w:r>
    </w:p>
    <w:p>
      <w:pPr>
        <w:pStyle w:val="Heading4"/>
      </w:pPr>
      <w:bookmarkStart w:id="26" w:name="凝心聚力-真抓实干-奋力实现十五五良好开局共享智造助力河北激活产业集群新活力"/>
      <w:r>
        <w:t xml:space="preserve">【凝心聚力 真抓实干 奋力实现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良好开局】共享智造助力河北激活产业集群新活力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相关板块：工业互联网、供应链软件、智能制造、检测设备、电线电缆</w:t>
      </w:r>
    </w:p>
    <w:p>
      <w:pPr>
        <w:numPr>
          <w:ilvl w:val="0"/>
          <w:numId w:val="1004"/>
        </w:numPr>
        <w:pStyle w:val="Compact"/>
      </w:pPr>
      <w:r>
        <w:t xml:space="preserve">核心解读：到 2027 年建成 30 个省级行业</w:t>
      </w:r>
      <w:r>
        <w:t xml:space="preserve">“</w:t>
      </w:r>
      <w:r>
        <w:t xml:space="preserve">产业大脑</w:t>
      </w:r>
      <w:r>
        <w:t xml:space="preserve">”</w:t>
      </w:r>
      <w:r>
        <w:t xml:space="preserve">、覆盖 107 个重点产业集群，政策由示范进入明确建设阶段，但区域经验向全国复制仍待观察。</w:t>
      </w:r>
    </w:p>
    <w:p>
      <w:pPr>
        <w:numPr>
          <w:ilvl w:val="0"/>
          <w:numId w:val="1004"/>
        </w:numPr>
        <w:pStyle w:val="Compact"/>
      </w:pPr>
      <w:r>
        <w:t xml:space="preserve">验证条件：工业软件、智能制造和电网设备形成成交共振并出现订单验证；若只有概念脉冲，短线逻辑失效。</w:t>
      </w:r>
    </w:p>
    <w:p>
      <w:pPr>
        <w:pStyle w:val="Heading4"/>
      </w:pPr>
      <w:bookmarkStart w:id="27" w:name="南水北调东中线一期工程调水突破900亿立方米"/>
      <w:r>
        <w:t xml:space="preserve">南水北调东中线一期工程调水突破900亿立方米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相关板块：水利工程、管网建设、水务运营、泵阀设备</w:t>
      </w:r>
    </w:p>
    <w:p>
      <w:pPr>
        <w:numPr>
          <w:ilvl w:val="0"/>
          <w:numId w:val="1005"/>
        </w:numPr>
        <w:pStyle w:val="Compact"/>
      </w:pPr>
      <w:r>
        <w:t xml:space="preserve">核心解读：累计调水突破 900 亿立方米，后续豫东水资源配置和青岛官路水库继续建设，公共水利投资具有可持续项目线索。</w:t>
      </w:r>
    </w:p>
    <w:p>
      <w:pPr>
        <w:numPr>
          <w:ilvl w:val="0"/>
          <w:numId w:val="1005"/>
        </w:numPr>
        <w:pStyle w:val="Compact"/>
      </w:pPr>
      <w:r>
        <w:t xml:space="preserve">验证条件：观察工程招标、订单公告及水利板块资金延续；若无新增项目或板块冲高回落，不追事件映射。</w:t>
      </w:r>
    </w:p>
    <w:p>
      <w:pPr>
        <w:pStyle w:val="Heading4"/>
      </w:pPr>
      <w:bookmarkStart w:id="28" w:name="月先行指标折射经济稳中向优态势明显"/>
      <w:r>
        <w:t xml:space="preserve">7月先行指标折射经济稳中向优态势明显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相关板块：家电、文旅消费、半导体、新材料、算力与数据基础设施</w:t>
      </w:r>
    </w:p>
    <w:p>
      <w:pPr>
        <w:numPr>
          <w:ilvl w:val="0"/>
          <w:numId w:val="1006"/>
        </w:numPr>
        <w:pStyle w:val="Compact"/>
      </w:pPr>
      <w:r>
        <w:t xml:space="preserve">核心解读：7 月线下消费支付金额同比增长 2.2%，家电和音像器材支付金额同比增长 8.5%，人工智能相关专利授权量同比增长六成；消费与新质生产力均有数据支撑。</w:t>
      </w:r>
    </w:p>
    <w:p>
      <w:pPr>
        <w:numPr>
          <w:ilvl w:val="0"/>
          <w:numId w:val="1006"/>
        </w:numPr>
        <w:pStyle w:val="Compact"/>
      </w:pPr>
      <w:r>
        <w:t xml:space="preserve">验证条件：消费和算力不能同时按主线处理，优先选择开盘后有成交、资金和核心股联动的一侧；两侧均缩量则保持均衡仓位。</w:t>
      </w:r>
    </w:p>
    <w:p>
      <w:pPr>
        <w:pStyle w:val="Heading4"/>
      </w:pPr>
      <w:bookmarkStart w:id="29" w:name="各地各部门多举措应对台风白海豚影响"/>
      <w:r>
        <w:t xml:space="preserve">各地各部门多举措应对台风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影响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相关板块：水利排涝、电网抢修、应急装备、灾后重建；交通文旅承压</w:t>
      </w:r>
    </w:p>
    <w:p>
      <w:pPr>
        <w:numPr>
          <w:ilvl w:val="0"/>
          <w:numId w:val="1007"/>
        </w:numPr>
        <w:pStyle w:val="Compact"/>
      </w:pPr>
      <w:r>
        <w:t xml:space="preserve">核心解读：中央财政紧急预拨 1.2 亿元，国家电网累计投入 3 万多人和 470 多台发电车，短期产生应急和修复需求，但台风交易持续性通常有限。</w:t>
      </w:r>
    </w:p>
    <w:p>
      <w:pPr>
        <w:numPr>
          <w:ilvl w:val="0"/>
          <w:numId w:val="1007"/>
        </w:numPr>
        <w:pStyle w:val="Compact"/>
      </w:pPr>
      <w:r>
        <w:t xml:space="preserve">验证条件：只做真实订单和板块资金确认后的机会；天气影响减弱、无新增采购时，事件逻辑失效。</w:t>
      </w:r>
    </w:p>
    <w:p>
      <w:pPr>
        <w:pStyle w:val="Heading4"/>
      </w:pPr>
      <w:bookmarkStart w:id="30" w:name="我国已建成国家慢性病综合防控示范区578个"/>
      <w:r>
        <w:t xml:space="preserve">我国已建成国家慢性病综合防控示范区578个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相关板块：慢病管理、基层医疗、家庭医生、医疗信息化、健康检测</w:t>
      </w:r>
    </w:p>
    <w:p>
      <w:pPr>
        <w:numPr>
          <w:ilvl w:val="0"/>
          <w:numId w:val="1008"/>
        </w:numPr>
        <w:pStyle w:val="Compact"/>
      </w:pPr>
      <w:r>
        <w:t xml:space="preserve">核心解读：现有示范区 578 个，2035 年目标 820 个、区县覆盖率接近 30%，支持基层慢病服务和健康管理的长期需求，短期业绩传导仍需订单确认。</w:t>
      </w:r>
    </w:p>
    <w:p>
      <w:pPr>
        <w:numPr>
          <w:ilvl w:val="0"/>
          <w:numId w:val="1008"/>
        </w:numPr>
        <w:pStyle w:val="Compact"/>
      </w:pPr>
      <w:r>
        <w:t xml:space="preserve">验证条件：医疗服务、检测和信息化板块出现资金与成交共振；若只有政策映射、无订单和业绩，按中期观察。</w:t>
      </w:r>
    </w:p>
    <w:p>
      <w:pPr>
        <w:pStyle w:val="Heading4"/>
      </w:pPr>
      <w:bookmarkStart w:id="31" w:name="服务消费拓展就业新空间"/>
      <w:r>
        <w:t xml:space="preserve">服务消费拓展就业新空间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相关板块：养老服务、家政服务、汽车后市场、职业教育</w:t>
      </w:r>
    </w:p>
    <w:p>
      <w:pPr>
        <w:numPr>
          <w:ilvl w:val="0"/>
          <w:numId w:val="1009"/>
        </w:numPr>
        <w:pStyle w:val="Compact"/>
      </w:pPr>
      <w:r>
        <w:t xml:space="preserve">核心解读：</w:t>
      </w:r>
      <w:r>
        <w:t xml:space="preserve">“</w:t>
      </w:r>
      <w:r>
        <w:t xml:space="preserve">一老一小</w:t>
      </w:r>
      <w:r>
        <w:t xml:space="preserve">”</w:t>
      </w:r>
      <w:r>
        <w:t xml:space="preserve">相关岗位需求增长 30% 以上，汽车维修、改装、露营和保险等后市场服务扩容，政策方向明确但上市公司受益分散。</w:t>
      </w:r>
    </w:p>
    <w:p>
      <w:pPr>
        <w:numPr>
          <w:ilvl w:val="0"/>
          <w:numId w:val="1009"/>
        </w:numPr>
        <w:pStyle w:val="Compact"/>
      </w:pPr>
      <w:r>
        <w:t xml:space="preserve">验证条件：观察服务消费数据与相关公司订单、客流；若无板块扩散，不做题材追涨。</w:t>
      </w:r>
    </w:p>
    <w:p>
      <w:pPr>
        <w:pStyle w:val="Heading4"/>
      </w:pPr>
      <w:bookmarkStart w:id="32" w:name="我国国际航线网络持续优化-更好满足入境游需求"/>
      <w:r>
        <w:t xml:space="preserve">我国国际航线网络持续优化 更好满足入境游需求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相关板块：航空机场、入境旅游、酒店、免税</w:t>
      </w:r>
    </w:p>
    <w:p>
      <w:pPr>
        <w:numPr>
          <w:ilvl w:val="0"/>
          <w:numId w:val="1010"/>
        </w:numPr>
        <w:pStyle w:val="Compact"/>
      </w:pPr>
      <w:r>
        <w:t xml:space="preserve">核心解读：上半年国际航线旅客运输量超过 4000 万人次、同比增长 5.7%，6 月开通国际航线 50 条，需求端有明确数据；但油价上涨会增加航空成本。</w:t>
      </w:r>
    </w:p>
    <w:p>
      <w:pPr>
        <w:numPr>
          <w:ilvl w:val="0"/>
          <w:numId w:val="1010"/>
        </w:numPr>
        <w:pStyle w:val="Compact"/>
      </w:pPr>
      <w:r>
        <w:t xml:space="preserve">验证条件：航空机场需同时验证客流改善与油价压力可控；若油价继续上冲、板块高开低走，则不参与。</w:t>
      </w:r>
    </w:p>
    <w:p>
      <w:pPr>
        <w:pStyle w:val="Heading4"/>
      </w:pPr>
      <w:bookmarkStart w:id="33" w:name="一线调研公园拓展消费新场景"/>
      <w:r>
        <w:t xml:space="preserve">【一线调研】公园拓展消费新场景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相关板块：夜间经济、文旅运营、商业零售、数字展示</w:t>
      </w:r>
    </w:p>
    <w:p>
      <w:pPr>
        <w:numPr>
          <w:ilvl w:val="0"/>
          <w:numId w:val="1011"/>
        </w:numPr>
        <w:pStyle w:val="Compact"/>
      </w:pPr>
      <w:r>
        <w:t xml:space="preserve">核心解读：北京公园延长营业时间并打造近 200 项活动，形成</w:t>
      </w:r>
      <w:r>
        <w:t xml:space="preserve">“</w:t>
      </w:r>
      <w:r>
        <w:t xml:space="preserve">公园+文旅+商业</w:t>
      </w:r>
      <w:r>
        <w:t xml:space="preserve">”</w:t>
      </w:r>
      <w:r>
        <w:t xml:space="preserve">的消费场景，但目前主要是区域案例。</w:t>
      </w:r>
    </w:p>
    <w:p>
      <w:pPr>
        <w:numPr>
          <w:ilvl w:val="0"/>
          <w:numId w:val="1011"/>
        </w:numPr>
        <w:pStyle w:val="Compact"/>
      </w:pPr>
      <w:r>
        <w:t xml:space="preserve">验证条件：文旅、零售或数字展示出现客流、订单与资金共振；无板块确认时，风语筑等映射标的只跟踪、不拔高。</w:t>
      </w:r>
    </w:p>
    <w:p>
      <w:pPr>
        <w:pStyle w:val="Heading4"/>
      </w:pPr>
      <w:bookmarkStart w:id="34" w:name="国内联播快讯"/>
      <w:r>
        <w:t xml:space="preserve">国内联播快讯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相关板块：绿色甲醇、绿色合成氨、航运航空燃料、口岸经济、生态保护</w:t>
      </w:r>
    </w:p>
    <w:p>
      <w:pPr>
        <w:numPr>
          <w:ilvl w:val="0"/>
          <w:numId w:val="1012"/>
        </w:numPr>
        <w:pStyle w:val="Compact"/>
      </w:pPr>
      <w:r>
        <w:t xml:space="preserve">核心解读：截至 2025 年底绿色燃料产能合计约 800 万吨，应用已扩展至航运、航空和工业；港珠澳大桥口岸车辆累计突破 2500 万辆次。产业线索明确，但方向较分散。</w:t>
      </w:r>
    </w:p>
    <w:p>
      <w:pPr>
        <w:numPr>
          <w:ilvl w:val="0"/>
          <w:numId w:val="1012"/>
        </w:numPr>
        <w:pStyle w:val="Compact"/>
      </w:pPr>
      <w:r>
        <w:t xml:space="preserve">验证条件：绿色燃料需观察价格、订单和产能利用率；口岸经济需客流与消费数据继续验证。</w:t>
      </w:r>
    </w:p>
    <w:p>
      <w:pPr>
        <w:pStyle w:val="Heading4"/>
      </w:pPr>
      <w:bookmarkStart w:id="35" w:name="日本民众举行集会抗议高市政权扩军修宪的危险动向"/>
      <w:r>
        <w:t xml:space="preserve">日本民众举行集会抗议高市政权扩军修宪的危险动向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A股影响：中性</w:t>
      </w:r>
    </w:p>
    <w:p>
      <w:pPr>
        <w:numPr>
          <w:ilvl w:val="0"/>
          <w:numId w:val="1013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13"/>
        </w:numPr>
        <w:pStyle w:val="Compact"/>
      </w:pPr>
      <w:r>
        <w:t xml:space="preserve">核心解读：事件反映地区安全议题升温，但当前没有形成可确认的A股订单或盈利传导。</w:t>
      </w:r>
    </w:p>
    <w:p>
      <w:pPr>
        <w:numPr>
          <w:ilvl w:val="0"/>
          <w:numId w:val="1013"/>
        </w:numPr>
        <w:pStyle w:val="Compact"/>
      </w:pPr>
      <w:r>
        <w:t xml:space="preserve">验证条件：仅在地区局势升级并得到军工订单或资金流验证时重新评估；否则不据此交易。</w:t>
      </w:r>
    </w:p>
    <w:p>
      <w:pPr>
        <w:pStyle w:val="Heading4"/>
      </w:pPr>
      <w:bookmarkStart w:id="36" w:name="以色列总理称拒绝美支持的加沙和平计划-美媒称白宫不在意"/>
      <w:r>
        <w:t xml:space="preserve">以色列总理称拒绝美支持的加沙和平计划 美媒称白宫</w:t>
      </w:r>
      <w:r>
        <w:t xml:space="preserve">“</w:t>
      </w:r>
      <w:r>
        <w:t xml:space="preserve">不在意</w:t>
      </w:r>
      <w:r>
        <w:t xml:space="preserve">”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相关板块：黄金、油气、油运可能受益；航空、风险资产承压</w:t>
      </w:r>
    </w:p>
    <w:p>
      <w:pPr>
        <w:numPr>
          <w:ilvl w:val="0"/>
          <w:numId w:val="1014"/>
        </w:numPr>
        <w:pStyle w:val="Compact"/>
      </w:pPr>
      <w:r>
        <w:t xml:space="preserve">核心解读：和平计划推进受阻，地缘风险溢价难以快速消退；但WTI仅上涨 0.10%，油价尚未给出强趋势确认。</w:t>
      </w:r>
    </w:p>
    <w:p>
      <w:pPr>
        <w:numPr>
          <w:ilvl w:val="0"/>
          <w:numId w:val="1014"/>
        </w:numPr>
        <w:pStyle w:val="Compact"/>
      </w:pPr>
      <w:r>
        <w:t xml:space="preserve">验证条件：黄金、原油与A股相关板块同向放量才可确认；若和谈改善或商品价格回落，避险交易失效。</w:t>
      </w:r>
    </w:p>
    <w:p>
      <w:pPr>
        <w:pStyle w:val="Heading4"/>
      </w:pPr>
      <w:bookmarkStart w:id="37" w:name="胡塞武装称袭击也门政府军目标及沙特炼油厂"/>
      <w:r>
        <w:t xml:space="preserve">胡塞武装称袭击也门政府军目标及沙特炼油厂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A股影响：偏利空</w:t>
      </w:r>
    </w:p>
    <w:p>
      <w:pPr>
        <w:numPr>
          <w:ilvl w:val="0"/>
          <w:numId w:val="1015"/>
        </w:numPr>
        <w:pStyle w:val="Compact"/>
      </w:pPr>
      <w:r>
        <w:t xml:space="preserve">相关板块：油气、油运、黄金可能受益；航空与化工下游成本承压</w:t>
      </w:r>
    </w:p>
    <w:p>
      <w:pPr>
        <w:numPr>
          <w:ilvl w:val="0"/>
          <w:numId w:val="1015"/>
        </w:numPr>
        <w:pStyle w:val="Compact"/>
      </w:pPr>
      <w:r>
        <w:t xml:space="preserve">核心解读：沙特炼油设施遭袭线索抬高能源供应风险，但沙特官方未说明火灾原因，不能把袭击与火灾静默合并为已确认因果。</w:t>
      </w:r>
    </w:p>
    <w:p>
      <w:pPr>
        <w:numPr>
          <w:ilvl w:val="0"/>
          <w:numId w:val="1015"/>
        </w:numPr>
        <w:pStyle w:val="Compact"/>
      </w:pPr>
      <w:r>
        <w:t xml:space="preserve">验证条件：观察沙特官方后续、原油价格与航运风险溢价；若油价不跟涨，A股油气只作短线观察。</w:t>
      </w:r>
    </w:p>
    <w:p>
      <w:pPr>
        <w:pStyle w:val="Heading4"/>
      </w:pPr>
      <w:bookmarkStart w:id="38" w:name="国际联播快讯"/>
      <w:r>
        <w:t xml:space="preserve">国际联播快讯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A股影响：偏利空</w:t>
      </w:r>
    </w:p>
    <w:p>
      <w:pPr>
        <w:numPr>
          <w:ilvl w:val="0"/>
          <w:numId w:val="1016"/>
        </w:numPr>
        <w:pStyle w:val="Compact"/>
      </w:pPr>
      <w:r>
        <w:t xml:space="preserve">相关板块：黄金、油气、军工、电网设备；全球风险资产承压</w:t>
      </w:r>
    </w:p>
    <w:p>
      <w:pPr>
        <w:numPr>
          <w:ilvl w:val="0"/>
          <w:numId w:val="1016"/>
        </w:numPr>
        <w:pStyle w:val="Compact"/>
      </w:pPr>
      <w:r>
        <w:t xml:space="preserve">核心解读：美国对伊朗经济压力、俄乌冲突引发大范围断电、欧美林火共同抬高外部不确定性；事件分散，不能直接推导单一A股主线。</w:t>
      </w:r>
    </w:p>
    <w:p>
      <w:pPr>
        <w:numPr>
          <w:ilvl w:val="0"/>
          <w:numId w:val="1016"/>
        </w:numPr>
        <w:pStyle w:val="Compact"/>
      </w:pPr>
      <w:r>
        <w:t xml:space="preserve">验证条件：以商品价格、军工订单和A股板块资金为准；若事件未升级且A50回稳，则外部风险影响减弱。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重要公告"/>
      <w:r>
        <w:t xml:space="preserve">📋 今日重要公告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 东方财富公告源返回 HTTP 567，增减持、解禁、业绩预告/快报、停复牌、重组、关注函及监管问询均未核验。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t xml:space="preserve">“</w:t>
      </w:r>
      <w:r>
        <w:t xml:space="preserve">公告源失败</w:t>
      </w:r>
      <w:r>
        <w:t xml:space="preserve">”</w:t>
      </w:r>
      <w:r>
        <w:t xml:space="preserve">不等于</w:t>
      </w:r>
      <w:r>
        <w:t xml:space="preserve">“</w:t>
      </w:r>
      <w:r>
        <w:t xml:space="preserve">今日没有公告</w:t>
      </w:r>
      <w:r>
        <w:t xml:space="preserve">”</w:t>
      </w:r>
      <w:r>
        <w:t xml:space="preserve">。实盘持仓、华泰候选股及高换手标的下单前必须复核交易所公告。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经济数据事件"/>
      <w:r>
        <w:t xml:space="preserve">📅 今日经济数据/事件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📊 采集 JSON 未提供今日国内 CPI/PPI/PMI、社融/M2、MLF/LPR/逆回购和海外宏观数据的官方发布时间，本轮统一标记为未核验。</w:t>
      </w:r>
    </w:p>
    <w:p>
      <w:pPr>
        <w:numPr>
          <w:ilvl w:val="0"/>
          <w:numId w:val="1018"/>
        </w:numPr>
        <w:pStyle w:val="Compact"/>
      </w:pPr>
      <w:r>
        <w:t xml:space="preserve">⚠️ 华泰文本提到 8 月 12 日美国 CPI，但未获本轮官方日历交叉确认；只作为次日风险线索，不将具体发布时间写成已确认事实。</w:t>
      </w:r>
    </w:p>
    <w:p>
      <w:pPr>
        <w:numPr>
          <w:ilvl w:val="0"/>
          <w:numId w:val="1018"/>
        </w:numPr>
        <w:pStyle w:val="Compact"/>
      </w:pPr>
      <w:r>
        <w:t xml:space="preserve">💡 今日不围绕未经官方日历确认的数据时点提前下注；若盘中出现宏观发布，先核验官方来源，再判断利率、银行、黄金和成长风格影响。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全球重要事件"/>
      <w:r>
        <w:t xml:space="preserve">🌍 全球重要事件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🛢️ 中东：加沙和平计划受阻，胡塞武装称袭击沙特炼油厂；WTI报 82.212 美元、涨 0.10%。油气存在风险溢价，但涨幅不足以确认趋势加速。</w:t>
      </w:r>
    </w:p>
    <w:p>
      <w:pPr>
        <w:numPr>
          <w:ilvl w:val="0"/>
          <w:numId w:val="1019"/>
        </w:numPr>
        <w:pStyle w:val="Compact"/>
      </w:pPr>
      <w:r>
        <w:t xml:space="preserve">🪙 贵金属：COMEX黄金报 4472.74 美元、涨 1.20%，避险信号最明确；高开追涨面临兑现风险。</w:t>
      </w:r>
    </w:p>
    <w:p>
      <w:pPr>
        <w:numPr>
          <w:ilvl w:val="0"/>
          <w:numId w:val="1019"/>
        </w:numPr>
        <w:pStyle w:val="Compact"/>
      </w:pPr>
      <w:r>
        <w:t xml:space="preserve">⚡ 俄乌：敖德萨热电厂及变电站遇袭、超过 30 万户断电，电力基础设施安全与地缘风险升温，但对A股电网设备的订单映射尚未核验。</w:t>
      </w:r>
    </w:p>
    <w:p>
      <w:pPr>
        <w:numPr>
          <w:ilvl w:val="0"/>
          <w:numId w:val="1019"/>
        </w:numPr>
        <w:pStyle w:val="Compact"/>
      </w:pPr>
      <w:r>
        <w:t xml:space="preserve">🔥 北美与欧洲林火：多地火情延续，可能扰动局部供应与保险成本；对A股直接盈利映射有限，不单独交易。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昨日复盘要点"/>
      <w:r>
        <w:t xml:space="preserve">📊 昨日复盘要点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📈 上证指数 3966.5935 点、涨 0.6740%；深证成指 14316.961 点、涨 0.0416%；📉 创业板指 3537.214 点、跌 0.7269%；科创50跌 0.3584%，沪深300涨 0.1616%。五项指数的点位和涨跌幅均经三源交叉验证。</w:t>
      </w:r>
    </w:p>
    <w:p>
      <w:pPr>
        <w:numPr>
          <w:ilvl w:val="0"/>
          <w:numId w:val="1020"/>
        </w:numPr>
        <w:pStyle w:val="Compact"/>
      </w:pPr>
      <w:r>
        <w:t xml:space="preserve">📊 同花顺单源显示上涨 4068 家、下跌 1391 家、平盘 79 家，涨停 103 家、跌停 5 家；上涨家数占 73.44%，呈现指数分化但个股普涨。</w:t>
      </w:r>
    </w:p>
    <w:p>
      <w:pPr>
        <w:numPr>
          <w:ilvl w:val="0"/>
          <w:numId w:val="1020"/>
        </w:numPr>
        <w:pStyle w:val="Compact"/>
      </w:pPr>
      <w:r>
        <w:t xml:space="preserve">💰 同花顺单源确认全市场成交额 25387.11 亿元；比较口径为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，只能引用原始金额，禁止使用减少 1446.92 亿元或任何变化百分比作仓位证据。</w:t>
      </w:r>
    </w:p>
    <w:p>
      <w:pPr>
        <w:numPr>
          <w:ilvl w:val="0"/>
          <w:numId w:val="1020"/>
        </w:numPr>
        <w:pStyle w:val="Compact"/>
      </w:pPr>
      <w:r>
        <w:t xml:space="preserve">💰 资金流入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没有可用的真实板块/个股 TOP10 名称和金额。</w:t>
      </w:r>
    </w:p>
    <w:p>
      <w:pPr>
        <w:numPr>
          <w:ilvl w:val="0"/>
          <w:numId w:val="1020"/>
        </w:numPr>
        <w:pStyle w:val="Compact"/>
      </w:pPr>
      <w:r>
        <w:t xml:space="preserve">⚠️ 资金流出 TOP10：未核验。不得用华泰文本分析或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的单只个股筛选结果替代榜单。</w:t>
      </w:r>
    </w:p>
    <w:p>
      <w:pPr>
        <w:numPr>
          <w:ilvl w:val="0"/>
          <w:numId w:val="1020"/>
        </w:numPr>
        <w:pStyle w:val="Compact"/>
      </w:pPr>
      <w:r>
        <w:t xml:space="preserve">🎭 市场结构：上证逼近4000点但创业板、科创50收跌，广度明显偏强，体现高低切换和风格再平衡；板块表现、活跃股和涨跌停样本缺失，具体主线仍待开盘验证。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今日操作策略"/>
      <w:r>
        <w:t xml:space="preserve">🎯 今日操作策略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📊 市场预判：震荡/均衡，可能出现指数冲关与题材轮动并存。上证距4000点较近、A50跌0.24%、黄金涨1.20%，不宜把昨日普涨直接外推为今日单边上涨。</w:t>
      </w:r>
    </w:p>
    <w:p>
      <w:pPr>
        <w:numPr>
          <w:ilvl w:val="0"/>
          <w:numId w:val="1021"/>
        </w:numPr>
        <w:pStyle w:val="Compact"/>
      </w:pPr>
      <w:r>
        <w:t xml:space="preserve">💰 仓位模型：激进 60%、均衡 45%、保守 30%，最高不超过 60%；这是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，因资金流和板块榜缺失，实际建仓必须分批并等待盘中验证。</w:t>
      </w:r>
    </w:p>
    <w:p>
      <w:pPr>
        <w:numPr>
          <w:ilvl w:val="0"/>
          <w:numId w:val="1021"/>
        </w:numPr>
        <w:pStyle w:val="Compact"/>
      </w:pPr>
      <w:r>
        <w:t xml:space="preserve">🔥 重点观察：贵金属—黄金/小金属、工业数字化—电网设备/制造服务、创新药—慢病管理/CRO。三者均为候选方向，不是已经确认的今日主线。</w:t>
      </w:r>
    </w:p>
    <w:p>
      <w:pPr>
        <w:numPr>
          <w:ilvl w:val="0"/>
          <w:numId w:val="1021"/>
        </w:numPr>
        <w:pStyle w:val="Compact"/>
      </w:pPr>
      <w:r>
        <w:t xml:space="preserve">📈 关注个股：晓程科技、哈三联、中能电气、长城军工、药明康德；其中晓程科技、哈三联、中能电气仅有华泰结构化单源行情，长城军工与药明康德的本轮精确行情未核验。</w:t>
      </w:r>
    </w:p>
    <w:p>
      <w:pPr>
        <w:numPr>
          <w:ilvl w:val="0"/>
          <w:numId w:val="1021"/>
        </w:numPr>
        <w:pStyle w:val="Compact"/>
      </w:pPr>
      <w:r>
        <w:t xml:space="preserve">💡 激进：不超过 60%，只在</w:t>
      </w:r>
      <w:r>
        <w:t xml:space="preserve">“</w:t>
      </w:r>
      <w:r>
        <w:t xml:space="preserve">板块放量、核心股有承接、指数不破昨日关键区间</w:t>
      </w:r>
      <w:r>
        <w:t xml:space="preserve">”</w:t>
      </w:r>
      <w:r>
        <w:t xml:space="preserve">同时满足时参与。</w:t>
      </w:r>
    </w:p>
    <w:p>
      <w:pPr>
        <w:numPr>
          <w:ilvl w:val="0"/>
          <w:numId w:val="1021"/>
        </w:numPr>
        <w:pStyle w:val="Compact"/>
      </w:pPr>
      <w:r>
        <w:t xml:space="preserve">💡 稳健：不超过 45%，等待开盘后首轮分歧和资金方向明朗，优先政策、商品价格与板块成交共振的方向。</w:t>
      </w:r>
    </w:p>
    <w:p>
      <w:pPr>
        <w:numPr>
          <w:ilvl w:val="0"/>
          <w:numId w:val="1021"/>
        </w:numPr>
        <w:pStyle w:val="Compact"/>
      </w:pPr>
      <w:r>
        <w:t xml:space="preserve">💡 保守：不超过 30%，以银行防御仓和现金为主；资金流 TOP10 恢复前不扩大高波动题材仓位。</w:t>
      </w:r>
    </w:p>
    <w:p>
      <w:pPr>
        <w:numPr>
          <w:ilvl w:val="0"/>
          <w:numId w:val="1021"/>
        </w:numPr>
        <w:pStyle w:val="Compact"/>
      </w:pPr>
      <w:r>
        <w:t xml:space="preserve">⚠️ 风险：4000点附近兑现、黄金高位波动、地缘消息反转、公告未核验、华泰单源候选偏差。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今日重点投资方向"/>
      <w:r>
        <w:t xml:space="preserve">🎯 今日重点投资方向</w:t>
      </w:r>
      <w:bookmarkEnd w:id="44"/>
    </w:p>
    <w:p>
      <w:pPr>
        <w:pStyle w:val="Heading3"/>
      </w:pPr>
      <w:bookmarkStart w:id="45" w:name="方向一贵金属黄金小金属避险优先级高观察"/>
      <w:r>
        <w:t xml:space="preserve">🪙 方向一：贵金属—黄金/小金属避险（优先级：高观察）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 证据链：COMEX黄金 4472.74 美元、涨 1.20%；加沙和平计划受阻与沙特炼油设施风险抬升避险需求；华泰结构化单源显示晓程科技最新 52.49 元、涨 9.35%、主力净流入 6493.31 万元、换手率 32.08%。本地板块资金和行情交叉校验缺失，因此只能列</w:t>
      </w:r>
      <w:r>
        <w:t xml:space="preserve">“</w:t>
      </w:r>
      <w:r>
        <w:t xml:space="preserve">高观察</w:t>
      </w:r>
      <w:r>
        <w:t xml:space="preserve">”</w:t>
      </w:r>
      <w:r>
        <w:t xml:space="preserve">。</w:t>
      </w:r>
    </w:p>
    <w:p>
      <w:pPr>
        <w:numPr>
          <w:ilvl w:val="0"/>
          <w:numId w:val="1022"/>
        </w:numPr>
        <w:pStyle w:val="Compact"/>
      </w:pPr>
      <w:r>
        <w:t xml:space="preserve">🔥 核心标的：晓程科技（300139，华泰单源的高换手黄金线索）；中钨高新（华泰文本列为小金属观察标的，精确行情未核验）。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参与策略：激进只做分歧回踩后的二次转强；稳健等待贵金属板块资金流入确认；保守不追黄金高开，只观察商品价格能否维持。</w:t>
      </w:r>
    </w:p>
    <w:p>
      <w:pPr>
        <w:numPr>
          <w:ilvl w:val="0"/>
          <w:numId w:val="1022"/>
        </w:numPr>
        <w:pStyle w:val="Compact"/>
      </w:pPr>
      <w:r>
        <w:t xml:space="preserve">✅ 触发条件：黄金价格维持强势、A股贵金属板块放量且晓程科技不出现高开低走。</w:t>
      </w:r>
    </w:p>
    <w:p>
      <w:pPr>
        <w:numPr>
          <w:ilvl w:val="0"/>
          <w:numId w:val="1022"/>
        </w:numPr>
        <w:pStyle w:val="Compact"/>
      </w:pPr>
      <w:r>
        <w:t xml:space="preserve">🚫 失效条件：COMEX黄金快速回落、板块资金转为净流出，或核心股跌破开盘区间后无承接。</w:t>
      </w:r>
    </w:p>
    <w:p>
      <w:pPr>
        <w:numPr>
          <w:ilvl w:val="0"/>
          <w:numId w:val="1022"/>
        </w:numPr>
        <w:pStyle w:val="Compact"/>
      </w:pPr>
      <w:r>
        <w:t xml:space="preserve">⚠️ 风险：晓程科技昨日涨幅和换手率均高，存在兑现风险；个股行情和资金仅华泰单源。</w:t>
      </w:r>
    </w:p>
    <w:p>
      <w:pPr>
        <w:pStyle w:val="Heading3"/>
      </w:pPr>
      <w:bookmarkStart w:id="46" w:name="方向二工业数字化电网设备共享制造优先级中"/>
      <w:r>
        <w:t xml:space="preserve">🏭 方向二：工业数字化—电网设备/共享制造（优先级：中）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 证据链：央视确认河北到2027年建设30个省级产业大脑、覆盖107个重点产业集群；台风抢修已投入3万多人和470多台发电车，电网韧性需求突出；华泰结构化单源显示中能电气最新7.63元、涨15.43%、主力净流入1.03亿元、换手率26.31%。</w:t>
      </w:r>
    </w:p>
    <w:p>
      <w:pPr>
        <w:numPr>
          <w:ilvl w:val="0"/>
          <w:numId w:val="1023"/>
        </w:numPr>
        <w:pStyle w:val="Compact"/>
      </w:pPr>
      <w:r>
        <w:t xml:space="preserve">🔥 核心标的：中能电气（300062，电气设备强势线索）；神剑股份（002361，最新12.49元、涨4.43%、主力净流入7036.41万元，华泰单源）；长城军工（601606，华泰文本列为军工人气观察，精确行情未核验）。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参与策略：激进观察中能电气分歧承接；稳健等待电网设备、工业软件和制造服务至少两个分支共振；保守等待订单公告。</w:t>
      </w:r>
    </w:p>
    <w:p>
      <w:pPr>
        <w:numPr>
          <w:ilvl w:val="0"/>
          <w:numId w:val="1023"/>
        </w:numPr>
        <w:pStyle w:val="Compact"/>
      </w:pPr>
      <w:r>
        <w:t xml:space="preserve">✅ 触发条件：板块成交放大、核心股回踩不破开盘区间，且市场资金不继续从成长方向撤离。</w:t>
      </w:r>
    </w:p>
    <w:p>
      <w:pPr>
        <w:numPr>
          <w:ilvl w:val="0"/>
          <w:numId w:val="1023"/>
        </w:numPr>
        <w:pStyle w:val="Compact"/>
      </w:pPr>
      <w:r>
        <w:t xml:space="preserve">🚫 失效条件：中能电气高开低走、板块扩散失败，或政策映射没有订单与资金验证。</w:t>
      </w:r>
    </w:p>
    <w:p>
      <w:pPr>
        <w:numPr>
          <w:ilvl w:val="0"/>
          <w:numId w:val="1023"/>
        </w:numPr>
        <w:pStyle w:val="Compact"/>
      </w:pPr>
      <w:r>
        <w:t xml:space="preserve">⚠️ 风险：中能电气昨日涨幅15.43%，短线波动高；央视政策是中期线索，不保证今日直接兑现。</w:t>
      </w:r>
    </w:p>
    <w:p>
      <w:pPr>
        <w:pStyle w:val="Heading3"/>
      </w:pPr>
      <w:bookmarkStart w:id="47" w:name="方向三创新药慢病管理cro优先级观察"/>
      <w:r>
        <w:t xml:space="preserve">💊 方向三：创新药—慢病管理/CRO（优先级：观察）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国家慢性病综合防控示范区已达578个、2035年目标820个；华泰文本将创新药/CRO列为关注方向；华泰结构化单源显示哈三联最新14.83元、涨10.01%、主力净流入347.15万元、换手率37.16%。本地板块涨幅和资金榜均缺失，证据强度有限。</w:t>
      </w:r>
    </w:p>
    <w:p>
      <w:pPr>
        <w:numPr>
          <w:ilvl w:val="0"/>
          <w:numId w:val="1024"/>
        </w:numPr>
        <w:pStyle w:val="Compact"/>
      </w:pPr>
      <w:r>
        <w:t xml:space="preserve">🔥 核心标的：哈三联（002900，高换手涨停线索但净流入规模较小）；药明康德、哈药股份（华泰文本观察标的，本轮精确行情未核验）。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参与策略：激进只看强势股换手后的承接；稳健等待创新药/CRO板块成交和资金确认；保守只关注业绩与研发催化明确的公司。</w:t>
      </w:r>
    </w:p>
    <w:p>
      <w:pPr>
        <w:numPr>
          <w:ilvl w:val="0"/>
          <w:numId w:val="1024"/>
        </w:numPr>
        <w:pStyle w:val="Compact"/>
      </w:pPr>
      <w:r>
        <w:t xml:space="preserve">✅ 触发条件：医药板块强于指数、至少两只核心股同步走强，且资金流榜恢复后显示净流入。</w:t>
      </w:r>
    </w:p>
    <w:p>
      <w:pPr>
        <w:numPr>
          <w:ilvl w:val="0"/>
          <w:numId w:val="1024"/>
        </w:numPr>
        <w:pStyle w:val="Compact"/>
      </w:pPr>
      <w:r>
        <w:t xml:space="preserve">🚫 失效条件：哈三联开板后无承接、板块冲高回落，或资金流恢复后显示净流出。</w:t>
      </w:r>
    </w:p>
    <w:p>
      <w:pPr>
        <w:numPr>
          <w:ilvl w:val="0"/>
          <w:numId w:val="1024"/>
        </w:numPr>
        <w:pStyle w:val="Compact"/>
      </w:pPr>
      <w:r>
        <w:t xml:space="preserve">⚠️ 风险：政策到上市公司利润传导周期长，单一高换手个股不能代表板块主线。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华泰自选股观察"/>
      <w:r>
        <w:t xml:space="preserve">🧾 华泰自选股观察</w:t>
      </w:r>
      <w:bookmarkEnd w:id="48"/>
    </w:p>
    <w:p>
      <w:pPr>
        <w:pStyle w:val="FirstParagraph"/>
      </w:pPr>
      <w:r>
        <w:t xml:space="preserve">华泰自选股共 3 只，行情样本全部取得，但均为华泰单源，未获新浪、东方财富、腾讯交叉校验。三只均未与今日候选主线形成强共振，整体以跟踪为主、暂不作为主攻方向。</w:t>
      </w:r>
    </w:p>
    <w:p>
      <w:pPr>
        <w:numPr>
          <w:ilvl w:val="0"/>
          <w:numId w:val="1025"/>
        </w:numPr>
        <w:pStyle w:val="Compact"/>
      </w:pPr>
      <w:r>
        <w:t xml:space="preserve">📈 603185 弘元绿能：最新 16.90 元、涨 2.18%，前收 16.54 元；属于光伏硅片/新能源方向，与贵金属、工业数字化和创新药主线不共振。判断：反弹继续观察、不追高；只有光伏板块放量且个股回踩16.54元上方获得承接，才可低吸跟踪。</w:t>
      </w:r>
    </w:p>
    <w:p>
      <w:pPr>
        <w:numPr>
          <w:ilvl w:val="0"/>
          <w:numId w:val="1025"/>
        </w:numPr>
        <w:pStyle w:val="Compact"/>
      </w:pPr>
      <w:r>
        <w:t xml:space="preserve">📉 603466 风语筑：最新 11.28 元、跌 0.62%，前收 11.35 元；属于数字展示/文化科技，与公园消费、夜间经济存在弱映射，但本地板块资金未核验。判断：偏弱，以跟踪为主、暂不作为主攻方向；收复11.35元并有板块共振前不加仓。</w:t>
      </w:r>
    </w:p>
    <w:p>
      <w:pPr>
        <w:numPr>
          <w:ilvl w:val="0"/>
          <w:numId w:val="1025"/>
        </w:numPr>
        <w:pStyle w:val="Compact"/>
      </w:pPr>
      <w:r>
        <w:t xml:space="preserve">➖ 601398 工商银行：最新 7.53 元、涨跌 0.00%，前收 7.53 元；属于银行高股息防御，与三条候选主线不共振，但适合震荡环境下稳定组合。判断：偏稳健、继续观察；守住7.53元可持有，不在银行加速拉升时追高。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用户实盘持仓策略"/>
      <w:r>
        <w:t xml:space="preserve">💼 用户实盘持仓策略</w:t>
      </w:r>
      <w:bookmarkEnd w:id="49"/>
    </w:p>
    <w:p>
      <w:pPr>
        <w:pStyle w:val="BlockText"/>
      </w:pPr>
      <w:r>
        <w:t xml:space="preserve">行情口径：弘元绿能、风语筑、工商银行使用采集 JSON 中的华泰单源报价；农业银行为写稿阶段华泰模拟行情补充单源。成本和数量来自用户提供信息。日K、均线、成交量、技术支撑阻力及公司公告未完整核验，因此以下仅用最新价、前收和盘中相对强弱设置条件，不虚构技术位。</w:t>
      </w:r>
    </w:p>
    <w:p>
      <w:pPr>
        <w:pStyle w:val="Heading3"/>
      </w:pPr>
      <w:bookmarkStart w:id="50" w:name="弘元绿能300股成本26.6669元"/>
      <w:r>
        <w:t xml:space="preserve">📉 603185 弘元绿能｜300股｜成本26.6669元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最新可得价16.90元，浮亏36.63%、浮亏2930.07元；当日涨2.18%，但光伏与今日候选主线无明显共振。</w:t>
      </w:r>
    </w:p>
    <w:p>
      <w:pPr>
        <w:numPr>
          <w:ilvl w:val="0"/>
          <w:numId w:val="1026"/>
        </w:numPr>
        <w:pStyle w:val="Compact"/>
      </w:pPr>
      <w:r>
        <w:t xml:space="preserve">💡 今日动作：最该减仓观察，不无条件补仓。若回落跌破前收16.54元且不能快速收回，或反弹明显弱于光伏板块，分批减仓；若冲高但量能与板块不跟随，也利用反弹降低风险。</w:t>
      </w:r>
    </w:p>
    <w:p>
      <w:pPr>
        <w:numPr>
          <w:ilvl w:val="0"/>
          <w:numId w:val="1026"/>
        </w:numPr>
        <w:pStyle w:val="Compact"/>
      </w:pPr>
      <w:r>
        <w:t xml:space="preserve">📈 支撑/阻力：16.54元仅为可确认的前收观察位，16.90元为最新价；真实技术支撑、压力和量价结构未核验。</w:t>
      </w:r>
    </w:p>
    <w:p>
      <w:pPr>
        <w:numPr>
          <w:ilvl w:val="0"/>
          <w:numId w:val="1026"/>
        </w:numPr>
        <w:pStyle w:val="Compact"/>
      </w:pPr>
      <w:r>
        <w:t xml:space="preserve">✅ 条件加仓：当前不主动加仓；只有光伏板块放量转强、个股回踩16.54元上方获得承接、且行情成交得到多源确认后，才重新评估小仓加回。</w:t>
      </w:r>
    </w:p>
    <w:p>
      <w:pPr>
        <w:numPr>
          <w:ilvl w:val="0"/>
          <w:numId w:val="1026"/>
        </w:numPr>
        <w:pStyle w:val="Compact"/>
      </w:pPr>
      <w:r>
        <w:t xml:space="preserve">🚫 失效条件：持续失守16.54元、相对光伏板块转弱，或复核发现业绩、减持等不利公告。</w:t>
      </w:r>
    </w:p>
    <w:p>
      <w:pPr>
        <w:numPr>
          <w:ilvl w:val="0"/>
          <w:numId w:val="1026"/>
        </w:numPr>
        <w:pStyle w:val="Compact"/>
      </w:pPr>
      <w:r>
        <w:t xml:space="preserve">⚠️ 风险：深度浮亏、趋势信息不全、主线不共振；无条件摊薄会继续放大单票风险。</w:t>
      </w:r>
    </w:p>
    <w:p>
      <w:pPr>
        <w:pStyle w:val="Heading3"/>
      </w:pPr>
      <w:bookmarkStart w:id="51" w:name="风语筑700股成本13.2159元"/>
      <w:r>
        <w:t xml:space="preserve">📉 603466 风语筑｜700股｜成本13.2159元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 最新可得价11.28元，浮亏14.65%、浮亏1355.13元；当日跌0.62%，弱于弘元绿能和两只银行，文化科技只获得政策弱映射。</w:t>
      </w:r>
    </w:p>
    <w:p>
      <w:pPr>
        <w:numPr>
          <w:ilvl w:val="0"/>
          <w:numId w:val="1027"/>
        </w:numPr>
        <w:pStyle w:val="Compact"/>
      </w:pPr>
      <w:r>
        <w:t xml:space="preserve">💡 今日动作：持有观察、反弹减仓优先。若不能收复前收11.35元且数字展示/文旅消费无板块共振，可分批减仓；若放量收复11.35元并回踩确认，继续观察承接。</w:t>
      </w:r>
    </w:p>
    <w:p>
      <w:pPr>
        <w:numPr>
          <w:ilvl w:val="0"/>
          <w:numId w:val="1027"/>
        </w:numPr>
        <w:pStyle w:val="Compact"/>
      </w:pPr>
      <w:r>
        <w:t xml:space="preserve">📈 支撑/阻力：11.28元为最新参考，11.35元为前收与首个收复门槛；更高压力和有效技术支撑未核验。</w:t>
      </w:r>
    </w:p>
    <w:p>
      <w:pPr>
        <w:numPr>
          <w:ilvl w:val="0"/>
          <w:numId w:val="1027"/>
        </w:numPr>
        <w:pStyle w:val="Compact"/>
      </w:pPr>
      <w:r>
        <w:t xml:space="preserve">✅ 条件加仓：仅在数字展示或文旅科技形成明确主线、个股放量突破开盘区间并回踩确认后考虑，不为降低成本补仓。</w:t>
      </w:r>
    </w:p>
    <w:p>
      <w:pPr>
        <w:numPr>
          <w:ilvl w:val="0"/>
          <w:numId w:val="1027"/>
        </w:numPr>
        <w:pStyle w:val="Compact"/>
      </w:pPr>
      <w:r>
        <w:t xml:space="preserve">🚫 失效条件：持续低于11.35元、相对所属板块走弱，或出现业绩、减持、监管风险。</w:t>
      </w:r>
    </w:p>
    <w:p>
      <w:pPr>
        <w:numPr>
          <w:ilvl w:val="0"/>
          <w:numId w:val="1027"/>
        </w:numPr>
        <w:pStyle w:val="Compact"/>
      </w:pPr>
      <w:r>
        <w:t xml:space="preserve">⚠️ 风险：题材轮动快、公告源失败、行情仅华泰单源。</w:t>
      </w:r>
    </w:p>
    <w:p>
      <w:pPr>
        <w:pStyle w:val="Heading3"/>
      </w:pPr>
      <w:bookmarkStart w:id="52" w:name="工商银行1900股成本7.0601元"/>
      <w:r>
        <w:t xml:space="preserve">📈 601398 工商银行｜1900股｜成本7.0601元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最新可得价7.53元，浮盈6.66%、浮盈892.81元；当日涨跌0.00%，属于银行高股息防御，是当前最稳健持有标的。</w:t>
      </w:r>
    </w:p>
    <w:p>
      <w:pPr>
        <w:numPr>
          <w:ilvl w:val="0"/>
          <w:numId w:val="1028"/>
        </w:numPr>
        <w:pStyle w:val="Compact"/>
      </w:pPr>
      <w:r>
        <w:t xml:space="preserve">💡 今日动作：继续持有并保护利润。守住7.53元且银行板块不转弱可持有；若跌破7.53元后不能收回、银行同步走弱，分批减仓锁定收益。</w:t>
      </w:r>
    </w:p>
    <w:p>
      <w:pPr>
        <w:numPr>
          <w:ilvl w:val="0"/>
          <w:numId w:val="1028"/>
        </w:numPr>
        <w:pStyle w:val="Compact"/>
      </w:pPr>
      <w:r>
        <w:t xml:space="preserve">📈 支撑/阻力：7.53元同时为最新价和前收观察位；更高阻力与日K支撑未核验。</w:t>
      </w:r>
    </w:p>
    <w:p>
      <w:pPr>
        <w:numPr>
          <w:ilvl w:val="0"/>
          <w:numId w:val="1028"/>
        </w:numPr>
        <w:pStyle w:val="Compact"/>
      </w:pPr>
      <w:r>
        <w:t xml:space="preserve">✅ 条件加仓：仅在银行板块放量走强、个股突破早盘区间后回踩确认、上证指数不转弱时小仓加仓；不在拉升加速段追高。</w:t>
      </w:r>
    </w:p>
    <w:p>
      <w:pPr>
        <w:numPr>
          <w:ilvl w:val="0"/>
          <w:numId w:val="1028"/>
        </w:numPr>
        <w:pStyle w:val="Compact"/>
      </w:pPr>
      <w:r>
        <w:t xml:space="preserve">🚫 失效条件：失守7.53元且无承接，或高股息交易集中兑现。</w:t>
      </w:r>
    </w:p>
    <w:p>
      <w:pPr>
        <w:numPr>
          <w:ilvl w:val="0"/>
          <w:numId w:val="1028"/>
        </w:numPr>
        <w:pStyle w:val="Compact"/>
      </w:pPr>
      <w:r>
        <w:t xml:space="preserve">⚠️ 风险：市场风格切回高弹性成长时可能相对跑输，盈利仓仍会回撤。</w:t>
      </w:r>
    </w:p>
    <w:p>
      <w:pPr>
        <w:pStyle w:val="Heading3"/>
      </w:pPr>
      <w:bookmarkStart w:id="53" w:name="农业银行5300股成本6.4244元"/>
      <w:r>
        <w:t xml:space="preserve">📈 601288 农业银行｜5300股｜成本6.4244元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写稿阶段华泰补充单源报价6.46元、跌0.15%，前收6.47元；按6.46元计算浮盈0.55%、浮盈188.68元，盈利缓冲较薄。</w:t>
      </w:r>
    </w:p>
    <w:p>
      <w:pPr>
        <w:numPr>
          <w:ilvl w:val="0"/>
          <w:numId w:val="1029"/>
        </w:numPr>
        <w:pStyle w:val="Compact"/>
      </w:pPr>
      <w:r>
        <w:t xml:space="preserve">💡 今日动作：持有观察、保护微利。若不能收复6.47元且银行板块转弱，可分批降低仓位；若守住6.46元并收复6.47元，继续持有。</w:t>
      </w:r>
    </w:p>
    <w:p>
      <w:pPr>
        <w:numPr>
          <w:ilvl w:val="0"/>
          <w:numId w:val="1029"/>
        </w:numPr>
        <w:pStyle w:val="Compact"/>
      </w:pPr>
      <w:r>
        <w:t xml:space="preserve">📈 支撑/阻力：6.46元为最新观察位，6.47元为前收门槛；可靠技术支撑、压力和成交结构未取得。</w:t>
      </w:r>
    </w:p>
    <w:p>
      <w:pPr>
        <w:numPr>
          <w:ilvl w:val="0"/>
          <w:numId w:val="1029"/>
        </w:numPr>
        <w:pStyle w:val="Compact"/>
      </w:pPr>
      <w:r>
        <w:t xml:space="preserve">✅ 条件加仓：满足</w:t>
      </w:r>
      <w:r>
        <w:t xml:space="preserve">“</w:t>
      </w:r>
      <w:r>
        <w:t xml:space="preserve">银行板块放量走强+个股收复6.47元并回踩确认+上证不转弱</w:t>
      </w:r>
      <w:r>
        <w:t xml:space="preserve">”</w:t>
      </w:r>
      <w:r>
        <w:t xml:space="preserve">后才可小仓加仓，不无条件摊薄。</w:t>
      </w:r>
    </w:p>
    <w:p>
      <w:pPr>
        <w:numPr>
          <w:ilvl w:val="0"/>
          <w:numId w:val="1029"/>
        </w:numPr>
        <w:pStyle w:val="Compact"/>
      </w:pPr>
      <w:r>
        <w:t xml:space="preserve">🚫 失效条件：跌破6.46元后无承接、银行板块共振走弱，或复核发现重大不利公告。</w:t>
      </w:r>
    </w:p>
    <w:p>
      <w:pPr>
        <w:numPr>
          <w:ilvl w:val="0"/>
          <w:numId w:val="1029"/>
        </w:numPr>
        <w:pStyle w:val="Compact"/>
      </w:pPr>
      <w:r>
        <w:t xml:space="preserve">⚠️ 风险：浮盈缓冲薄、报价为补充单源；银行若整体兑现，股息逻辑不能替代价格风控。</w:t>
      </w:r>
    </w:p>
    <w:p>
      <w:pPr>
        <w:pStyle w:val="FirstParagraph"/>
      </w:pPr>
      <w:r>
        <w:t xml:space="preserve">📊 按四只股票最新可得单源报价计算，持仓合计市值61511.00元、合计浮亏3203.71元、整体浮亏4.95%。风险主要集中于弘元绿能和风语筑；工商银行是最稳健持有，农业银行仅在满足板块与价格条件后才考虑加仓。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4" w:name="盘前风险清单"/>
      <w:r>
        <w:t xml:space="preserve">⚠️ 盘前风险清单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均失败，任何候选方向都不能写成已确认主线。</w:t>
      </w:r>
    </w:p>
    <w:p>
      <w:pPr>
        <w:numPr>
          <w:ilvl w:val="0"/>
          <w:numId w:val="1030"/>
        </w:numPr>
        <w:pStyle w:val="Compact"/>
      </w:pPr>
      <w:r>
        <w:t xml:space="preserve">⚠️ 资金流入TOP10和资金流出TOP10均未核验，华泰个股筛选不能替代板块或全市场资金榜。</w:t>
      </w:r>
    </w:p>
    <w:p>
      <w:pPr>
        <w:numPr>
          <w:ilvl w:val="0"/>
          <w:numId w:val="1030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，仅引用25387.11亿元原始金额，不引用变化金额或百分比。</w:t>
      </w:r>
    </w:p>
    <w:p>
      <w:pPr>
        <w:numPr>
          <w:ilvl w:val="0"/>
          <w:numId w:val="1030"/>
        </w:numPr>
        <w:pStyle w:val="Compact"/>
      </w:pPr>
      <w:r>
        <w:t xml:space="preserve">⚠️ 公告源失败，高换手候选股与全部实盘持仓交易前必须人工复核交易所公告。</w:t>
      </w:r>
    </w:p>
    <w:p>
      <w:pPr>
        <w:numPr>
          <w:ilvl w:val="0"/>
          <w:numId w:val="1030"/>
        </w:numPr>
        <w:pStyle w:val="Compact"/>
      </w:pPr>
      <w:r>
        <w:t xml:space="preserve">🚫 若上证冲击4000点失败、A50继续走弱且候选板块无资金扩散，应主动降低仓位，不以盘前政策逻辑对抗价格信号。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生成时间：2026-08-11 08:32（北京时间，Asia/Shanghai）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2026-08-11T00:38:43Z</dcterms:created>
  <dcterms:modified xsi:type="dcterms:W3CDTF">2026-08-11T00:38:43Z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