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8-10周一"/>
      <w:r>
        <w:t xml:space="preserve">🌅 盘前简报 | 2026-08-10（周一）</w:t>
      </w:r>
      <w:bookmarkEnd w:id="20"/>
    </w:p>
    <w:p>
      <w:pPr>
        <w:pStyle w:val="BlockText"/>
      </w:pPr>
      <w:r>
        <w:t xml:space="preserve">数据说明：本报告以 2026-08-10 08:30 采集 JSON 为主，并补充调用华泰模拟行情核验农业银行。关键源覆盖率为 3/7（42.86%）；指数完成新浪、东方财富、腾讯三源校验，涨跌家数与全市场成交额为同花顺单源。资金流、板块表现、活跃个股、涨跌停样本、公告和核心个股多源校验失败，相关结论统一降级，禁止补齐缺失榜单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隔夜全球市场"/>
      <w:r>
        <w:t xml:space="preserve">🌐 隔夜全球市场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📈 港股：恒生指数 8 月 7 日收于 25530.279 点，涨 0.54%；这是上周五收盘数据，今日 08:30 港股尚未开盘。</w:t>
      </w:r>
    </w:p>
    <w:p>
      <w:pPr>
        <w:numPr>
          <w:ilvl w:val="0"/>
          <w:numId w:val="1001"/>
        </w:numPr>
        <w:pStyle w:val="Compact"/>
      </w:pPr>
      <w:r>
        <w:t xml:space="preserve">📈 富时中国 A50 期指：15080.36 点，涨 0.24%，对 A 股开盘情绪构成温和正向参考。</w:t>
      </w:r>
    </w:p>
    <w:p>
      <w:pPr>
        <w:numPr>
          <w:ilvl w:val="0"/>
          <w:numId w:val="1001"/>
        </w:numPr>
        <w:pStyle w:val="Compact"/>
      </w:pPr>
      <w:r>
        <w:t xml:space="preserve">💱 美元离岸人民币：6.7440，涨 0.01%，人民币盘前波动有限。</w:t>
      </w:r>
    </w:p>
    <w:p>
      <w:pPr>
        <w:numPr>
          <w:ilvl w:val="0"/>
          <w:numId w:val="1001"/>
        </w:numPr>
        <w:pStyle w:val="Compact"/>
      </w:pPr>
      <w:r>
        <w:t xml:space="preserve">📉 COMEX 黄金：4396.169 美元/盎司，跌 0.08%；📈 WTI 原油 78.953 美元/桶，涨 0.99%；伦铜 14069.98，跌 0.04%。</w:t>
      </w:r>
    </w:p>
    <w:p>
      <w:pPr>
        <w:numPr>
          <w:ilvl w:val="0"/>
          <w:numId w:val="1001"/>
        </w:numPr>
        <w:pStyle w:val="Compact"/>
      </w:pPr>
      <w:r>
        <w:t xml:space="preserve">⚠️ 美股三大指数、重点中概股和欧洲主要股指具体数值未进入采集 JSON，本轮未核验；不以华泰文本中的二手描述替代结构化行情。</w:t>
      </w:r>
    </w:p>
    <w:p>
      <w:pPr>
        <w:pStyle w:val="FirstParagraph"/>
      </w:pPr>
      <w:r>
        <w:t xml:space="preserve">💡 盘前含义：A50 与原油偏强、人民币稳定，但黄金和铜基本平稳。外围没有形成一致风险信号，A 股更可能由上周五放量上涨后的获利兑现与国内政策主线共同定价。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新闻联播政策面"/>
      <w:r>
        <w:t xml:space="preserve">📺 新闻联播政策面</w:t>
      </w:r>
      <w:bookmarkEnd w:id="22"/>
    </w:p>
    <w:p>
      <w:pPr>
        <w:pStyle w:val="Heading3"/>
      </w:pPr>
      <w:bookmarkStart w:id="23" w:name="总体分析"/>
      <w:r>
        <w:t xml:space="preserve">📌 总体分析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🔴 央视来源完整：播出日期 2026-08-09，目录 12 条、详情成功 12 条，采集时间 2026-08-10 08:30:07；央视来源页与本地存档均已确认。</w:t>
      </w:r>
    </w:p>
    <w:p>
      <w:pPr>
        <w:numPr>
          <w:ilvl w:val="0"/>
          <w:numId w:val="1002"/>
        </w:numPr>
        <w:pStyle w:val="Compact"/>
      </w:pPr>
      <w:r>
        <w:t xml:space="preserve">🚀 最强产业信号是全国一体化算力网：全国产 10 万卡集群、智能算力同比增长 177%、全国超六成算力纳入统一监测，直接映射国产算力、光通信和数据中心基础设施。</w:t>
      </w:r>
    </w:p>
    <w:p>
      <w:pPr>
        <w:numPr>
          <w:ilvl w:val="0"/>
          <w:numId w:val="1002"/>
        </w:numPr>
        <w:pStyle w:val="Compact"/>
      </w:pPr>
      <w:r>
        <w:t xml:space="preserve">🌾 粮食安全与农业科技获得高规格强调，夏粮总产量首次突破 3000 亿斤、高标准农田超过 10 亿亩，利好种业、农机、农业数字化与水利防灾的中期需求。</w:t>
      </w:r>
    </w:p>
    <w:p>
      <w:pPr>
        <w:numPr>
          <w:ilvl w:val="0"/>
          <w:numId w:val="1002"/>
        </w:numPr>
        <w:pStyle w:val="Compact"/>
      </w:pPr>
      <w:r>
        <w:t xml:space="preserve">🔬 基础研究预算 1169.38 亿元、同比增长 16.3%，高于科技支出 10%的整体增速；对科研仪器、创新药和硬科技构成中期支持，但短线仍需资金与业绩验证。</w:t>
      </w:r>
    </w:p>
    <w:p>
      <w:pPr>
        <w:numPr>
          <w:ilvl w:val="0"/>
          <w:numId w:val="1002"/>
        </w:numPr>
        <w:pStyle w:val="Compact"/>
      </w:pPr>
      <w:r>
        <w:t xml:space="preserve">⚠️ 台风</w:t>
      </w:r>
      <w:r>
        <w:t xml:space="preserve">“</w:t>
      </w:r>
      <w:r>
        <w:t xml:space="preserve">白海豚</w:t>
      </w:r>
      <w:r>
        <w:t xml:space="preserve">”</w:t>
      </w:r>
      <w:r>
        <w:t xml:space="preserve">及霍尔木兹海峡继续关闭分别抬升防汛救灾、能源与航运扰动；事件交易波动大，不宜在缺少板块资金确认时追高。</w:t>
      </w:r>
    </w:p>
    <w:p>
      <w:pPr>
        <w:pStyle w:val="Heading3"/>
      </w:pPr>
      <w:bookmarkStart w:id="24" w:name="逐条新闻解读"/>
      <w:r>
        <w:t xml:space="preserve">📰 逐条新闻解读</w:t>
      </w:r>
      <w:bookmarkEnd w:id="24"/>
    </w:p>
    <w:p>
      <w:pPr>
        <w:pStyle w:val="Heading4"/>
      </w:pPr>
      <w:bookmarkStart w:id="25" w:name="新思想引领新征程丰收背后的稳与进"/>
      <w:r>
        <w:t xml:space="preserve">【新思想引领新征程】丰收背后的</w:t>
      </w:r>
      <w:r>
        <w:t xml:space="preserve">“</w:t>
      </w:r>
      <w:r>
        <w:t xml:space="preserve">稳</w:t>
      </w:r>
      <w:r>
        <w:t xml:space="preserve">”</w:t>
      </w:r>
      <w:r>
        <w:t xml:space="preserve">与</w:t>
      </w:r>
      <w:r>
        <w:t xml:space="preserve">“</w:t>
      </w:r>
      <w:r>
        <w:t xml:space="preserve">进</w:t>
      </w:r>
      <w:r>
        <w:t xml:space="preserve">”</w:t>
      </w:r>
      <w:bookmarkEnd w:id="25"/>
    </w:p>
    <w:p>
      <w:pPr>
        <w:numPr>
          <w:ilvl w:val="0"/>
          <w:numId w:val="1003"/>
        </w:numPr>
        <w:pStyle w:val="Compact"/>
      </w:pPr>
      <w:r>
        <w:t xml:space="preserve">A股影响：利好</w:t>
      </w:r>
    </w:p>
    <w:p>
      <w:pPr>
        <w:numPr>
          <w:ilvl w:val="0"/>
          <w:numId w:val="1003"/>
        </w:numPr>
        <w:pStyle w:val="Compact"/>
      </w:pPr>
      <w:r>
        <w:t xml:space="preserve">相关板块：种业、农机、高标准农田、农业气象、农用无人机、化肥</w:t>
      </w:r>
    </w:p>
    <w:p>
      <w:pPr>
        <w:numPr>
          <w:ilvl w:val="0"/>
          <w:numId w:val="1003"/>
        </w:numPr>
        <w:pStyle w:val="Compact"/>
      </w:pPr>
      <w:r>
        <w:t xml:space="preserve">核心解读：粮食安全延续高规格政策主线，夏粮总产量首次突破 3000 亿斤，全国高标准农田超过 10 亿亩，农用无人机保有量超过 30 万架；政策力度属于长期战略与产业投入并行。</w:t>
      </w:r>
    </w:p>
    <w:p>
      <w:pPr>
        <w:numPr>
          <w:ilvl w:val="0"/>
          <w:numId w:val="1003"/>
        </w:numPr>
        <w:pStyle w:val="Compact"/>
      </w:pPr>
      <w:r>
        <w:t xml:space="preserve">验证条件：农业科技、种业和农机至少两个环节同步放量；若仅单只概念股高开、板块无资金扩散，则不作为短线主攻。</w:t>
      </w:r>
    </w:p>
    <w:p>
      <w:pPr>
        <w:pStyle w:val="Heading4"/>
      </w:pPr>
      <w:bookmarkStart w:id="26" w:name="我国加快推进算力网建设"/>
      <w:r>
        <w:t xml:space="preserve">我国加快推进算力网建设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A股影响：利好</w:t>
      </w:r>
    </w:p>
    <w:p>
      <w:pPr>
        <w:numPr>
          <w:ilvl w:val="0"/>
          <w:numId w:val="1004"/>
        </w:numPr>
        <w:pStyle w:val="Compact"/>
      </w:pPr>
      <w:r>
        <w:t xml:space="preserve">相关板块：国产算力、服务器、光模块/光纤、数据中心、算力调度</w:t>
      </w:r>
    </w:p>
    <w:p>
      <w:pPr>
        <w:numPr>
          <w:ilvl w:val="0"/>
          <w:numId w:val="1004"/>
        </w:numPr>
        <w:pStyle w:val="Compact"/>
      </w:pPr>
      <w:r>
        <w:t xml:space="preserve">核心解读：全国产 10 万卡集群落地，智能算力规模同比增长 177%，新型四通道光纤传输容量可提升 4 倍，全国超六成算力纳入统一监测，属于产业基础设施的实质进展。</w:t>
      </w:r>
    </w:p>
    <w:p>
      <w:pPr>
        <w:numPr>
          <w:ilvl w:val="0"/>
          <w:numId w:val="1004"/>
        </w:numPr>
        <w:pStyle w:val="Compact"/>
      </w:pPr>
      <w:r>
        <w:t xml:space="preserve">验证条件：科创 50 保持相对强势，算力硬件与光通信同步放量，核心股不出现高开低走；若板块资金转弱则放弃追涨。</w:t>
      </w:r>
    </w:p>
    <w:p>
      <w:pPr>
        <w:pStyle w:val="Heading4"/>
      </w:pPr>
      <w:bookmarkStart w:id="27" w:name="我国加强对基础研究的长期稳定支持"/>
      <w:r>
        <w:t xml:space="preserve">我国加强对基础研究的长期稳定支持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A股影响：利好</w:t>
      </w:r>
    </w:p>
    <w:p>
      <w:pPr>
        <w:numPr>
          <w:ilvl w:val="0"/>
          <w:numId w:val="1005"/>
        </w:numPr>
        <w:pStyle w:val="Compact"/>
      </w:pPr>
      <w:r>
        <w:t xml:space="preserve">相关板块：科研仪器、创新药、医学研究、硬科技孵化</w:t>
      </w:r>
    </w:p>
    <w:p>
      <w:pPr>
        <w:numPr>
          <w:ilvl w:val="0"/>
          <w:numId w:val="1005"/>
        </w:numPr>
        <w:pStyle w:val="Compact"/>
      </w:pPr>
      <w:r>
        <w:t xml:space="preserve">核心解读：中央本级基础研究预算 1169.38 亿元、同比增长 16.3%，并以联合基金撬动企业资本，政策力度高于例行表态，但成果转化周期较长。</w:t>
      </w:r>
    </w:p>
    <w:p>
      <w:pPr>
        <w:numPr>
          <w:ilvl w:val="0"/>
          <w:numId w:val="1005"/>
        </w:numPr>
        <w:pStyle w:val="Compact"/>
      </w:pPr>
      <w:r>
        <w:t xml:space="preserve">验证条件：科研仪器、创新药或 CXO 出现成交和资金共振；若只有政策映射而无业绩或订单支撑，按中期逻辑观察。</w:t>
      </w:r>
    </w:p>
    <w:p>
      <w:pPr>
        <w:pStyle w:val="Heading4"/>
      </w:pPr>
      <w:bookmarkStart w:id="28" w:name="台风白海豚登陆-各地各部门全力应对"/>
      <w:r>
        <w:t xml:space="preserve">台风</w:t>
      </w:r>
      <w:r>
        <w:t xml:space="preserve">“</w:t>
      </w:r>
      <w:r>
        <w:t xml:space="preserve">白海豚</w:t>
      </w:r>
      <w:r>
        <w:t xml:space="preserve">”</w:t>
      </w:r>
      <w:r>
        <w:t xml:space="preserve">登陆 各地各部门全力应对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A股影响：中性</w:t>
      </w:r>
    </w:p>
    <w:p>
      <w:pPr>
        <w:numPr>
          <w:ilvl w:val="0"/>
          <w:numId w:val="1006"/>
        </w:numPr>
        <w:pStyle w:val="Compact"/>
      </w:pPr>
      <w:r>
        <w:t xml:space="preserve">相关板块：水利排涝、应急装备、建筑修复；交通运输、文旅承压</w:t>
      </w:r>
    </w:p>
    <w:p>
      <w:pPr>
        <w:numPr>
          <w:ilvl w:val="0"/>
          <w:numId w:val="1006"/>
        </w:numPr>
        <w:pStyle w:val="Compact"/>
      </w:pPr>
      <w:r>
        <w:t xml:space="preserve">核心解读：台风以 14 级强度登陆，长三角多地航班取消超过 1700 架次，短期利好应急排涝需求，同时压制受灾区域交通、旅游和线下消费。</w:t>
      </w:r>
    </w:p>
    <w:p>
      <w:pPr>
        <w:numPr>
          <w:ilvl w:val="0"/>
          <w:numId w:val="1006"/>
        </w:numPr>
        <w:pStyle w:val="Compact"/>
      </w:pPr>
      <w:r>
        <w:t xml:space="preserve">验证条件：只观察明确订单或灾后修复政策；若风雨影响快速消退且无新增投资，事件映射失效。</w:t>
      </w:r>
    </w:p>
    <w:p>
      <w:pPr>
        <w:pStyle w:val="Heading4"/>
      </w:pPr>
      <w:bookmarkStart w:id="29" w:name="月份居民消费价格指数保持温和上涨"/>
      <w:r>
        <w:t xml:space="preserve">7月份居民消费价格指数保持温和上涨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A股影响：中性</w:t>
      </w:r>
    </w:p>
    <w:p>
      <w:pPr>
        <w:numPr>
          <w:ilvl w:val="0"/>
          <w:numId w:val="1007"/>
        </w:numPr>
        <w:pStyle w:val="Compact"/>
      </w:pPr>
      <w:r>
        <w:t xml:space="preserve">相关板块：消费服务、餐饮、上游周期</w:t>
      </w:r>
    </w:p>
    <w:p>
      <w:pPr>
        <w:numPr>
          <w:ilvl w:val="0"/>
          <w:numId w:val="1007"/>
        </w:numPr>
        <w:pStyle w:val="Compact"/>
      </w:pPr>
      <w:r>
        <w:t xml:space="preserve">核心解读：7 月 CPI 同比上涨 0.5%，服务价格保持上涨；PPI 同比上涨 3.5%但涨幅回落，显示消费价格温和、生产端仍有涨价但边际降温。</w:t>
      </w:r>
    </w:p>
    <w:p>
      <w:pPr>
        <w:numPr>
          <w:ilvl w:val="0"/>
          <w:numId w:val="1007"/>
        </w:numPr>
        <w:pStyle w:val="Compact"/>
      </w:pPr>
      <w:r>
        <w:t xml:space="preserve">验证条件：消费服务需盈利改善确认；周期品需商品价格与 A 股资金同向，PPI 涨幅继续回落则上游涨价交易降温。</w:t>
      </w:r>
    </w:p>
    <w:p>
      <w:pPr>
        <w:pStyle w:val="Heading4"/>
      </w:pPr>
      <w:bookmarkStart w:id="30" w:name="我国加快自然资源一张图平台建设"/>
      <w:r>
        <w:t xml:space="preserve">我国加快自然资源</w:t>
      </w:r>
      <w:r>
        <w:t xml:space="preserve">“</w:t>
      </w:r>
      <w:r>
        <w:t xml:space="preserve">一张图</w:t>
      </w:r>
      <w:r>
        <w:t xml:space="preserve">”</w:t>
      </w:r>
      <w:r>
        <w:t xml:space="preserve">平台建设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A股影响：偏利好</w:t>
      </w:r>
    </w:p>
    <w:p>
      <w:pPr>
        <w:numPr>
          <w:ilvl w:val="0"/>
          <w:numId w:val="1008"/>
        </w:numPr>
        <w:pStyle w:val="Compact"/>
      </w:pPr>
      <w:r>
        <w:t xml:space="preserve">相关板块：时空大数据、遥感测绘、政务信息化、国土空间数字化</w:t>
      </w:r>
    </w:p>
    <w:p>
      <w:pPr>
        <w:numPr>
          <w:ilvl w:val="0"/>
          <w:numId w:val="1008"/>
        </w:numPr>
        <w:pStyle w:val="Compact"/>
      </w:pPr>
      <w:r>
        <w:t xml:space="preserve">核心解读：平台已汇集 41.4 亿条空间数据，浙江累计调用超过 91 亿次，跨部门审批应用具备真实规模，利好空间数据治理和政务数字化服务。</w:t>
      </w:r>
    </w:p>
    <w:p>
      <w:pPr>
        <w:numPr>
          <w:ilvl w:val="0"/>
          <w:numId w:val="1008"/>
        </w:numPr>
        <w:pStyle w:val="Compact"/>
      </w:pPr>
      <w:r>
        <w:t xml:space="preserve">验证条件：相关软件与遥感板块需出现订单、成交和龙头联动；若仅题材脉冲，按观察方向处理。</w:t>
      </w:r>
    </w:p>
    <w:p>
      <w:pPr>
        <w:pStyle w:val="Heading4"/>
      </w:pPr>
      <w:bookmarkStart w:id="31" w:name="我国生态修复治理取得新成效"/>
      <w:r>
        <w:t xml:space="preserve">我国生态修复治理取得新成效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A股影响：偏利好</w:t>
      </w:r>
    </w:p>
    <w:p>
      <w:pPr>
        <w:numPr>
          <w:ilvl w:val="0"/>
          <w:numId w:val="1009"/>
        </w:numPr>
        <w:pStyle w:val="Compact"/>
      </w:pPr>
      <w:r>
        <w:t xml:space="preserve">相关板块：生态修复、园林工程、水环境治理、环保装备</w:t>
      </w:r>
    </w:p>
    <w:p>
      <w:pPr>
        <w:numPr>
          <w:ilvl w:val="0"/>
          <w:numId w:val="1009"/>
        </w:numPr>
        <w:pStyle w:val="Compact"/>
      </w:pPr>
      <w:r>
        <w:t xml:space="preserve">核心解读：新一批山水工程将覆盖青藏高原、黄河、长江等重点区域，中央财政首次明确支持跨省域联合申报，项目制特征较清晰。</w:t>
      </w:r>
    </w:p>
    <w:p>
      <w:pPr>
        <w:numPr>
          <w:ilvl w:val="0"/>
          <w:numId w:val="1009"/>
        </w:numPr>
        <w:pStyle w:val="Compact"/>
      </w:pPr>
      <w:r>
        <w:t xml:space="preserve">验证条件：等待工程招标、订单公告或环保板块资金确认；若财政项目落地节奏慢，短线催化失效。</w:t>
      </w:r>
    </w:p>
    <w:p>
      <w:pPr>
        <w:pStyle w:val="Heading4"/>
      </w:pPr>
      <w:bookmarkStart w:id="32" w:name="文化中国行平遥古城活态保护焕发新光彩"/>
      <w:r>
        <w:t xml:space="preserve">【文化中国行】平遥古城活态保护焕发新光彩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A股影响：偏利好</w:t>
      </w:r>
    </w:p>
    <w:p>
      <w:pPr>
        <w:numPr>
          <w:ilvl w:val="0"/>
          <w:numId w:val="1010"/>
        </w:numPr>
        <w:pStyle w:val="Compact"/>
      </w:pPr>
      <w:r>
        <w:t xml:space="preserve">相关板块：文旅、数字文保、虚拟现实、文博数字化</w:t>
      </w:r>
    </w:p>
    <w:p>
      <w:pPr>
        <w:numPr>
          <w:ilvl w:val="0"/>
          <w:numId w:val="1010"/>
        </w:numPr>
        <w:pStyle w:val="Compact"/>
      </w:pPr>
      <w:r>
        <w:t xml:space="preserve">核心解读：平遥年均接待游客超过 1000 万人次，古城基础设施升级、虚拟空间体验和文物数字化重建形成</w:t>
      </w:r>
      <w:r>
        <w:t xml:space="preserve">“</w:t>
      </w:r>
      <w:r>
        <w:t xml:space="preserve">文旅+数字化</w:t>
      </w:r>
      <w:r>
        <w:t xml:space="preserve">”</w:t>
      </w:r>
      <w:r>
        <w:t xml:space="preserve">应用案例，但属于区域示范。</w:t>
      </w:r>
    </w:p>
    <w:p>
      <w:pPr>
        <w:numPr>
          <w:ilvl w:val="0"/>
          <w:numId w:val="1010"/>
        </w:numPr>
        <w:pStyle w:val="Compact"/>
      </w:pPr>
      <w:r>
        <w:t xml:space="preserve">验证条件：文旅或数字展示板块需出现客流、订单及资金联动；若无板块扩散，不据此追高风语筑等映射标的。</w:t>
      </w:r>
    </w:p>
    <w:p>
      <w:pPr>
        <w:pStyle w:val="Heading4"/>
      </w:pPr>
      <w:bookmarkStart w:id="33" w:name="国内联播快讯"/>
      <w:r>
        <w:t xml:space="preserve">国内联播快讯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A股影响：偏利好</w:t>
      </w:r>
    </w:p>
    <w:p>
      <w:pPr>
        <w:numPr>
          <w:ilvl w:val="0"/>
          <w:numId w:val="1011"/>
        </w:numPr>
        <w:pStyle w:val="Compact"/>
      </w:pPr>
      <w:r>
        <w:t xml:space="preserve">相关板块：地热能、海上油气、AI应用、就业服务、农业供应链</w:t>
      </w:r>
    </w:p>
    <w:p>
      <w:pPr>
        <w:numPr>
          <w:ilvl w:val="0"/>
          <w:numId w:val="1011"/>
        </w:numPr>
        <w:pStyle w:val="Compact"/>
      </w:pPr>
      <w:r>
        <w:t xml:space="preserve">核心解读：地热供暖制冷规模达 16.5 亿平方米；渤中 19-6 气田一期全面投产，探明天然气地质储量超过 2000 亿立方米；《2026中国AI盛典》提供 AI 应用传播催化，影响方向较分散。</w:t>
      </w:r>
    </w:p>
    <w:p>
      <w:pPr>
        <w:numPr>
          <w:ilvl w:val="0"/>
          <w:numId w:val="1011"/>
        </w:numPr>
        <w:pStyle w:val="Compact"/>
      </w:pPr>
      <w:r>
        <w:t xml:space="preserve">验证条件：优先观察海上油气和地热是否有成交、订单共振；AI 仅有情绪催化而无产业资金时不追高。</w:t>
      </w:r>
    </w:p>
    <w:p>
      <w:pPr>
        <w:pStyle w:val="Heading4"/>
      </w:pPr>
      <w:bookmarkStart w:id="34" w:name="伊朗称在美国接受其条件前不会重新开放霍尔木兹海峡"/>
      <w:r>
        <w:t xml:space="preserve">伊朗称在美国接受其条件前不会重新开放霍尔木兹海峡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A股影响：偏利好</w:t>
      </w:r>
    </w:p>
    <w:p>
      <w:pPr>
        <w:numPr>
          <w:ilvl w:val="0"/>
          <w:numId w:val="1012"/>
        </w:numPr>
        <w:pStyle w:val="Compact"/>
      </w:pPr>
      <w:r>
        <w:t xml:space="preserve">相关板块：油气、油运、军工、黄金</w:t>
      </w:r>
    </w:p>
    <w:p>
      <w:pPr>
        <w:numPr>
          <w:ilvl w:val="0"/>
          <w:numId w:val="1012"/>
        </w:numPr>
        <w:pStyle w:val="Compact"/>
      </w:pPr>
      <w:r>
        <w:t xml:space="preserve">核心解读：海峡继续关闭、冲突尚未结束，WTI 盘前上涨 0.99%，能源供应风险溢价仍在；美国防空导弹库存信息也可能强化军工补库预期。</w:t>
      </w:r>
    </w:p>
    <w:p>
      <w:pPr>
        <w:numPr>
          <w:ilvl w:val="0"/>
          <w:numId w:val="1012"/>
        </w:numPr>
        <w:pStyle w:val="Compact"/>
      </w:pPr>
      <w:r>
        <w:t xml:space="preserve">验证条件：原油价格、油运费率与 A 股油气/油运板块必须同向；若谈判缓和或油价回落，追高逻辑立即失效。</w:t>
      </w:r>
    </w:p>
    <w:p>
      <w:pPr>
        <w:pStyle w:val="Heading4"/>
      </w:pPr>
      <w:bookmarkStart w:id="35" w:name="加拿大不列颠哥伦比亚省因林火快速蔓延进入紧急状态-大批居民撤离"/>
      <w:r>
        <w:t xml:space="preserve">加拿大不列颠哥伦比亚省因林火快速蔓延进入紧急状态 大批居民撤离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A股影响：中性</w:t>
      </w:r>
    </w:p>
    <w:p>
      <w:pPr>
        <w:numPr>
          <w:ilvl w:val="0"/>
          <w:numId w:val="1013"/>
        </w:numPr>
        <w:pStyle w:val="Compact"/>
      </w:pPr>
      <w:r>
        <w:t xml:space="preserve">相关板块：应急装备、林业资源；无直接强映射</w:t>
      </w:r>
    </w:p>
    <w:p>
      <w:pPr>
        <w:numPr>
          <w:ilvl w:val="0"/>
          <w:numId w:val="1013"/>
        </w:numPr>
        <w:pStyle w:val="Compact"/>
      </w:pPr>
      <w:r>
        <w:t xml:space="preserve">核心解读：加拿大超过 2 万人撤离、100 多处火点，北美林火风险上升，但对 A 股上市公司盈利的直接传导尚不明确。</w:t>
      </w:r>
    </w:p>
    <w:p>
      <w:pPr>
        <w:numPr>
          <w:ilvl w:val="0"/>
          <w:numId w:val="1013"/>
        </w:numPr>
        <w:pStyle w:val="Compact"/>
      </w:pPr>
      <w:r>
        <w:t xml:space="preserve">验证条件：不单独据此交易；仅在木材供应、商品价格或应急装备订单出现明确变化时重新评估。</w:t>
      </w:r>
    </w:p>
    <w:p>
      <w:pPr>
        <w:pStyle w:val="Heading4"/>
      </w:pPr>
      <w:bookmarkStart w:id="36" w:name="国际联播快讯"/>
      <w:r>
        <w:t xml:space="preserve">国际联播快讯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A股影响：中性</w:t>
      </w:r>
    </w:p>
    <w:p>
      <w:pPr>
        <w:numPr>
          <w:ilvl w:val="0"/>
          <w:numId w:val="1014"/>
        </w:numPr>
        <w:pStyle w:val="Compact"/>
      </w:pPr>
      <w:r>
        <w:t xml:space="preserve">相关板块：军工、天然气管道、航空机场、应急救灾</w:t>
      </w:r>
    </w:p>
    <w:p>
      <w:pPr>
        <w:numPr>
          <w:ilvl w:val="0"/>
          <w:numId w:val="1014"/>
        </w:numPr>
        <w:pStyle w:val="Compact"/>
      </w:pPr>
      <w:r>
        <w:t xml:space="preserve">核心解读：亚太核安全争议、欧洲天然气设施附近无人机爆炸、台风及火山影响航班，均抬升外部不确定性，但事件分散且缺少直接 A 股业绩映射。</w:t>
      </w:r>
    </w:p>
    <w:p>
      <w:pPr>
        <w:numPr>
          <w:ilvl w:val="0"/>
          <w:numId w:val="1014"/>
        </w:numPr>
        <w:pStyle w:val="Compact"/>
      </w:pPr>
      <w:r>
        <w:t xml:space="preserve">验证条件：需观察能源价格、军工订单或航空运营数据；事件未继续升级时不作题材追涨。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7" w:name="今日重要公告"/>
      <w:r>
        <w:t xml:space="preserve">📋 今日重要公告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⚠️ 东方财富公告源返回 HTTP 567，增减持、解禁、业绩预告/快报、停复牌、重组及监管问询均未核验。</w:t>
      </w:r>
    </w:p>
    <w:p>
      <w:pPr>
        <w:numPr>
          <w:ilvl w:val="0"/>
          <w:numId w:val="1015"/>
        </w:numPr>
        <w:pStyle w:val="Compact"/>
      </w:pPr>
      <w:r>
        <w:t xml:space="preserve">🚫</w:t>
      </w:r>
      <w:r>
        <w:t xml:space="preserve"> </w:t>
      </w:r>
      <w:r>
        <w:t xml:space="preserve">“</w:t>
      </w:r>
      <w:r>
        <w:t xml:space="preserve">公告未采集</w:t>
      </w:r>
      <w:r>
        <w:t xml:space="preserve">”</w:t>
      </w:r>
      <w:r>
        <w:t xml:space="preserve">不等于</w:t>
      </w:r>
      <w:r>
        <w:t xml:space="preserve">“</w:t>
      </w:r>
      <w:r>
        <w:t xml:space="preserve">没有公告</w:t>
      </w:r>
      <w:r>
        <w:t xml:space="preserve">”</w:t>
      </w:r>
      <w:r>
        <w:t xml:space="preserve">。下单前必须复核交易所公告，特别是实盘持仓、华泰候选股及高换手强势股。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8" w:name="今日经济数据事件"/>
      <w:r>
        <w:t xml:space="preserve">📅 今日经济数据/事件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📊 7 月 CPI 同比上涨 0.5%、PPI 同比上涨 3.5%已由 8 月 9 日央视《新闻联播》确认，属于已公布数据，不是今日待公布事件。</w:t>
      </w:r>
    </w:p>
    <w:p>
      <w:pPr>
        <w:numPr>
          <w:ilvl w:val="0"/>
          <w:numId w:val="1016"/>
        </w:numPr>
        <w:pStyle w:val="Compact"/>
      </w:pPr>
      <w:r>
        <w:t xml:space="preserve">⚠️ 今日国内社融/M2、央行逆回购，以及海外通胀、就业、央行会议和重要数据公布时点未进入采集 JSON，本轮未核验。</w:t>
      </w:r>
    </w:p>
    <w:p>
      <w:pPr>
        <w:numPr>
          <w:ilvl w:val="0"/>
          <w:numId w:val="1016"/>
        </w:numPr>
        <w:pStyle w:val="Compact"/>
      </w:pPr>
      <w:r>
        <w:t xml:space="preserve">💡 不围绕未经官方日历确认的时间点下注；盘中若出现宏观数据，先核验来源，再判断利率、银行和成长风格影响。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39" w:name="全球重要事件"/>
      <w:r>
        <w:t xml:space="preserve">🌍 全球重要事件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🛢️ 霍尔木兹海峡：伊朗称在美方接受其条件前不会重新开放，WTI 上涨 0.99%；油气、油运存在事件机会，也面临谈判反转后的快速兑现。</w:t>
      </w:r>
    </w:p>
    <w:p>
      <w:pPr>
        <w:numPr>
          <w:ilvl w:val="0"/>
          <w:numId w:val="1017"/>
        </w:numPr>
        <w:pStyle w:val="Compact"/>
      </w:pPr>
      <w:r>
        <w:t xml:space="preserve">🌪️ 台风</w:t>
      </w:r>
      <w:r>
        <w:t xml:space="preserve">“</w:t>
      </w:r>
      <w:r>
        <w:t xml:space="preserve">白海豚</w:t>
      </w:r>
      <w:r>
        <w:t xml:space="preserve">”</w:t>
      </w:r>
      <w:r>
        <w:t xml:space="preserve">：华东强风雨及交通停运可能影响区域物流、旅游和施工；水利排涝、应急装备只看真实订单，不做纯事件追涨。</w:t>
      </w:r>
    </w:p>
    <w:p>
      <w:pPr>
        <w:numPr>
          <w:ilvl w:val="0"/>
          <w:numId w:val="1017"/>
        </w:numPr>
        <w:pStyle w:val="Compact"/>
      </w:pPr>
      <w:r>
        <w:t xml:space="preserve">🔥 北美林火：加拿大超过 2 万人撤离，美国近 100 处大型林火燃烧；对 A 股直接映射有限，以商品供应和应急装备后续数据为准。</w:t>
      </w:r>
    </w:p>
    <w:p>
      <w:pPr>
        <w:numPr>
          <w:ilvl w:val="0"/>
          <w:numId w:val="1017"/>
        </w:numPr>
        <w:pStyle w:val="Compact"/>
      </w:pPr>
      <w:r>
        <w:t xml:space="preserve">⚠️ 欧洲能源设施安全：保加利亚天然气压缩机站附近发生无人机爆炸，若事件升级可能抬高欧洲能源风险溢价；当前仅列风险观察。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0" w:name="昨日复盘要点"/>
      <w:r>
        <w:t xml:space="preserve">📊 昨日复盘要点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📈 上证指数 3940.0371 点、涨 1.0175%；深证成指 14311.008 点、涨 1.4237%；创业板指 3563.116 点、涨 1.3527%；科创 50 涨 2.5117%，沪深 300 涨 0.9272%。点位与涨跌幅经新浪、东方财富、腾讯三源校验一致。</w:t>
      </w:r>
    </w:p>
    <w:p>
      <w:pPr>
        <w:numPr>
          <w:ilvl w:val="0"/>
          <w:numId w:val="1018"/>
        </w:numPr>
        <w:pStyle w:val="Compact"/>
      </w:pPr>
      <w:r>
        <w:t xml:space="preserve">📊 同花顺单源显示上涨 2856 家、下跌 2536 家、平盘 143 家，涨停 74 家、跌停 4 家；上涨占 51.56%，赚钱效应偏正但并非普涨。</w:t>
      </w:r>
    </w:p>
    <w:p>
      <w:pPr>
        <w:numPr>
          <w:ilvl w:val="0"/>
          <w:numId w:val="1018"/>
        </w:numPr>
        <w:pStyle w:val="Compact"/>
      </w:pPr>
      <w:r>
        <w:t xml:space="preserve">💰 同花顺单源确认全市场成交额 26834.03 亿元；</w:t>
      </w:r>
      <w:r>
        <w:rPr>
          <w:rStyle w:val="VerbatimChar"/>
        </w:rPr>
        <w:t xml:space="preserve">turnover_comparison_scope=unverified</w:t>
      </w:r>
      <w:r>
        <w:t xml:space="preserve">，禁止引用</w:t>
      </w:r>
      <w:r>
        <w:t xml:space="preserve">“</w:t>
      </w:r>
      <w:r>
        <w:t xml:space="preserve">较昨日 0%</w:t>
      </w:r>
      <w:r>
        <w:t xml:space="preserve">”</w:t>
      </w:r>
      <w:r>
        <w:t xml:space="preserve">或据此判断放量变化。</w:t>
      </w:r>
    </w:p>
    <w:p>
      <w:pPr>
        <w:numPr>
          <w:ilvl w:val="0"/>
          <w:numId w:val="1018"/>
        </w:numPr>
        <w:pStyle w:val="Compact"/>
      </w:pPr>
      <w:r>
        <w:t xml:space="preserve">💰 资金流入 TOP10：未核验。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返回 HTTP 502，无法提供真实板块名和金额。</w:t>
      </w:r>
    </w:p>
    <w:p>
      <w:pPr>
        <w:numPr>
          <w:ilvl w:val="0"/>
          <w:numId w:val="1018"/>
        </w:numPr>
        <w:pStyle w:val="Compact"/>
      </w:pPr>
      <w:r>
        <w:t xml:space="preserve">⚠️ 资金流出 TOP10：未核验。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返回 HTTP 502，禁止用华泰文本或个股筛选结果替代真实榜单。</w:t>
      </w:r>
    </w:p>
    <w:p>
      <w:pPr>
        <w:numPr>
          <w:ilvl w:val="0"/>
          <w:numId w:val="1018"/>
        </w:numPr>
        <w:pStyle w:val="Compact"/>
      </w:pPr>
      <w:r>
        <w:t xml:space="preserve">🔥 上周五科创 50 领涨且市场总量活跃，但板块表现、活跃个股、涨跌停样本均缺失；</w:t>
      </w:r>
      <w:r>
        <w:t xml:space="preserve">“</w:t>
      </w:r>
      <w:r>
        <w:t xml:space="preserve">算力/医药</w:t>
      </w:r>
      <w:r>
        <w:t xml:space="preserve">”</w:t>
      </w:r>
      <w:r>
        <w:t xml:space="preserve">等仅是盘前候选，必须等开盘验证。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1" w:name="今日操作策略"/>
      <w:r>
        <w:t xml:space="preserve">🎯 今日操作策略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📊 市场预判：偏强震荡、冲高分化。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“</w:t>
      </w:r>
      <w:r>
        <w:t xml:space="preserve">偏强/风险偏好较高</w:t>
      </w:r>
      <w:r>
        <w:t xml:space="preserve">”</w:t>
      </w:r>
      <w:r>
        <w:t xml:space="preserve">，但上周五全线上涨后存在获利兑现，关键源覆盖率仅 42.86%，不把高开当确认。</w:t>
      </w:r>
    </w:p>
    <w:p>
      <w:pPr>
        <w:numPr>
          <w:ilvl w:val="0"/>
          <w:numId w:val="1019"/>
        </w:numPr>
        <w:pStyle w:val="Compact"/>
      </w:pPr>
      <w:r>
        <w:t xml:space="preserve">💰 仓位模型：激进上限 80%、均衡上限 65%、保守上限 50%；资金流和板块榜单恢复前，实际执行宜低于上限并分批进场。</w:t>
      </w:r>
    </w:p>
    <w:p>
      <w:pPr>
        <w:numPr>
          <w:ilvl w:val="0"/>
          <w:numId w:val="1019"/>
        </w:numPr>
        <w:pStyle w:val="Compact"/>
      </w:pPr>
      <w:r>
        <w:t xml:space="preserve">🔥 重点观察：国产算力—PCB/光通信、创新药研发—CXO；资源与防汛只作事件观察，不列主攻。</w:t>
      </w:r>
    </w:p>
    <w:p>
      <w:pPr>
        <w:numPr>
          <w:ilvl w:val="0"/>
          <w:numId w:val="1019"/>
        </w:numPr>
        <w:pStyle w:val="Compact"/>
      </w:pPr>
      <w:r>
        <w:t xml:space="preserve">📈 关注个股：中京电子、威尔高、美诺华、永安药业；均来自华泰单源筛选，未获新浪/东方财富/腾讯个股行情校验，不做集合竞价追高。</w:t>
      </w:r>
    </w:p>
    <w:p>
      <w:pPr>
        <w:numPr>
          <w:ilvl w:val="0"/>
          <w:numId w:val="1019"/>
        </w:numPr>
        <w:pStyle w:val="Compact"/>
      </w:pPr>
      <w:r>
        <w:t xml:space="preserve">💡 激进：开盘后确认</w:t>
      </w:r>
      <w:r>
        <w:t xml:space="preserve">“</w:t>
      </w:r>
      <w:r>
        <w:t xml:space="preserve">板块放量 + 核心股有承接 + 科创 50 不转弱</w:t>
      </w:r>
      <w:r>
        <w:t xml:space="preserve">”</w:t>
      </w:r>
      <w:r>
        <w:t xml:space="preserve">再参与，最高 80%只是模型上限。</w:t>
      </w:r>
    </w:p>
    <w:p>
      <w:pPr>
        <w:numPr>
          <w:ilvl w:val="0"/>
          <w:numId w:val="1019"/>
        </w:numPr>
        <w:pStyle w:val="Compact"/>
      </w:pPr>
      <w:r>
        <w:t xml:space="preserve">💡 稳健：仓位不超过 65%，等待首轮分歧回踩和二次转强，优先有政策、成交与个股资金三重线索的方向。</w:t>
      </w:r>
    </w:p>
    <w:p>
      <w:pPr>
        <w:numPr>
          <w:ilvl w:val="0"/>
          <w:numId w:val="1019"/>
        </w:numPr>
        <w:pStyle w:val="Compact"/>
      </w:pPr>
      <w:r>
        <w:t xml:space="preserve">💡 保守：仓位不超过 50%，以银行盈利仓和现金为主；资金流 TOP10 未恢复前不扩大题材暴露。</w:t>
      </w:r>
    </w:p>
    <w:p>
      <w:pPr>
        <w:numPr>
          <w:ilvl w:val="0"/>
          <w:numId w:val="1019"/>
        </w:numPr>
        <w:pStyle w:val="Compact"/>
      </w:pPr>
      <w:r>
        <w:t xml:space="preserve">⚠️ 风险：高位科技兑现、华泰单源偏差、半年报/减持公告未核验、地缘与台风事件反转，均可能造成快速回撤。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今日重点投资方向"/>
      <w:r>
        <w:t xml:space="preserve">🎯 今日重点投资方向</w:t>
      </w:r>
      <w:bookmarkEnd w:id="42"/>
    </w:p>
    <w:p>
      <w:pPr>
        <w:pStyle w:val="Heading3"/>
      </w:pPr>
      <w:bookmarkStart w:id="43" w:name="方向一国产算力pcb光通信基础设施优先级高"/>
      <w:r>
        <w:t xml:space="preserve">🚀 方向一：国产算力—PCB/光通信基础设施（优先级：高）</w:t>
      </w:r>
      <w:bookmarkEnd w:id="43"/>
    </w:p>
    <w:p>
      <w:pPr>
        <w:numPr>
          <w:ilvl w:val="0"/>
          <w:numId w:val="1020"/>
        </w:numPr>
        <w:pStyle w:val="Compact"/>
      </w:pPr>
      <w:r>
        <w:t xml:space="preserve">📌 证据链：央视确认全国首个全国产 10 万卡集群、智能算力同比增长 177%、四通道光纤传输容量可提升 4 倍；科创 50 上周五上涨 2.5117%，强于主要宽基指数；华泰单源筛选显示中京电子、威尔高同时具备高换手、强势和主力净流入特征。</w:t>
      </w:r>
    </w:p>
    <w:p>
      <w:pPr>
        <w:numPr>
          <w:ilvl w:val="0"/>
          <w:numId w:val="1020"/>
        </w:numPr>
        <w:pStyle w:val="Compact"/>
      </w:pPr>
      <w:r>
        <w:t xml:space="preserve">🔥 核心标的：中京电子（002579，15.15 元、涨 8.76%、主力净流入 3.38 亿元）；威尔高（301251，46.58 元、涨 16.95%、主力净流入 1.30 亿元）。两者均为华泰单源，价格与资金未获本地多源校验。</w:t>
      </w:r>
    </w:p>
    <w:p>
      <w:pPr>
        <w:numPr>
          <w:ilvl w:val="0"/>
          <w:numId w:val="1020"/>
        </w:numPr>
        <w:pStyle w:val="Compact"/>
      </w:pPr>
      <w:r>
        <w:t xml:space="preserve">💡 参与策略：激进只做开盘分歧后的承接；稳健等算力硬件与 PCB/光通信至少两个环节共振；保守等待资金流和板块榜单恢复。</w:t>
      </w:r>
    </w:p>
    <w:p>
      <w:pPr>
        <w:numPr>
          <w:ilvl w:val="0"/>
          <w:numId w:val="1020"/>
        </w:numPr>
        <w:pStyle w:val="Compact"/>
      </w:pPr>
      <w:r>
        <w:t xml:space="preserve">✅ 触发条件：科创 50 保持强势，板块放量且核心股回踩不破开盘区间后再度转强。</w:t>
      </w:r>
    </w:p>
    <w:p>
      <w:pPr>
        <w:numPr>
          <w:ilvl w:val="0"/>
          <w:numId w:val="1020"/>
        </w:numPr>
        <w:pStyle w:val="Compact"/>
      </w:pPr>
      <w:r>
        <w:t xml:space="preserve">🚫 失效条件：核心股跌破开盘价后无承接、板块扩散失败，或指数与科技板块同步走弱。</w:t>
      </w:r>
    </w:p>
    <w:p>
      <w:pPr>
        <w:numPr>
          <w:ilvl w:val="0"/>
          <w:numId w:val="1020"/>
        </w:numPr>
        <w:pStyle w:val="Compact"/>
      </w:pPr>
      <w:r>
        <w:t xml:space="preserve">⚠️ 风险：中京电子和威尔高上周五涨幅较大，存在高开兑现、单源数据偏差及高换手波动风险。</w:t>
      </w:r>
    </w:p>
    <w:p>
      <w:pPr>
        <w:pStyle w:val="Heading3"/>
      </w:pPr>
      <w:bookmarkStart w:id="44" w:name="方向二创新药研发cxo原料药优先级中"/>
      <w:r>
        <w:t xml:space="preserve">🔬 方向二：创新药研发—CXO/原料药（优先级：中）</w:t>
      </w:r>
      <w:bookmarkEnd w:id="44"/>
    </w:p>
    <w:p>
      <w:pPr>
        <w:numPr>
          <w:ilvl w:val="0"/>
          <w:numId w:val="1021"/>
        </w:numPr>
        <w:pStyle w:val="Compact"/>
      </w:pPr>
      <w:r>
        <w:t xml:space="preserve">📌 证据链：中央本级基础研究预算 1169.38 亿元、同比增长 16.3%，并设医学基础研究联合基金；华泰市场文本将 CXO 列为强势方向，但该判断仅作补充；华泰结构化筛选显示美诺华、永安药业具备强势、高换手和净流入特征。</w:t>
      </w:r>
    </w:p>
    <w:p>
      <w:pPr>
        <w:numPr>
          <w:ilvl w:val="0"/>
          <w:numId w:val="1021"/>
        </w:numPr>
        <w:pStyle w:val="Compact"/>
      </w:pPr>
      <w:r>
        <w:t xml:space="preserve">🔥 核心标的：美诺华（603538，29.20 元、涨 6.61%、主力净流入 1.39 亿元）；永安药业（002365，13.85 元、涨 7.28%、主力净流入 9074.97 万元）。两者未获本地个股多源校验。</w:t>
      </w:r>
    </w:p>
    <w:p>
      <w:pPr>
        <w:numPr>
          <w:ilvl w:val="0"/>
          <w:numId w:val="1021"/>
        </w:numPr>
        <w:pStyle w:val="Compact"/>
      </w:pPr>
      <w:r>
        <w:t xml:space="preserve">💡 参与策略：激进观察分歧低吸，不追一致性高开；稳健等待医药板块成交回升及核心股回踩确认；保守只跟踪中报、订单和研发催化已明确的标的。</w:t>
      </w:r>
    </w:p>
    <w:p>
      <w:pPr>
        <w:numPr>
          <w:ilvl w:val="0"/>
          <w:numId w:val="1021"/>
        </w:numPr>
        <w:pStyle w:val="Compact"/>
      </w:pPr>
      <w:r>
        <w:t xml:space="preserve">✅ 触发条件：CXO/原料药板块整体强于指数，核心股量价承接稳定，且医药方向出现可核验资金延续。</w:t>
      </w:r>
    </w:p>
    <w:p>
      <w:pPr>
        <w:numPr>
          <w:ilvl w:val="0"/>
          <w:numId w:val="1021"/>
        </w:numPr>
        <w:pStyle w:val="Compact"/>
      </w:pPr>
      <w:r>
        <w:t xml:space="preserve">🚫 失效条件：板块冲高回落、主力净流入转为净流出，或候选股跌破开盘区间且不能收回。</w:t>
      </w:r>
    </w:p>
    <w:p>
      <w:pPr>
        <w:numPr>
          <w:ilvl w:val="0"/>
          <w:numId w:val="1021"/>
        </w:numPr>
        <w:pStyle w:val="Compact"/>
      </w:pPr>
      <w:r>
        <w:t xml:space="preserve">⚠️ 风险：基础研究政策传导到上市公司业绩需要时间；高换手强势股易分化，公告源缺失增加业绩与减持风险。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5" w:name="华泰自选股观察"/>
      <w:r>
        <w:t xml:space="preserve">🧾 华泰自选股观察</w:t>
      </w:r>
      <w:bookmarkEnd w:id="45"/>
    </w:p>
    <w:p>
      <w:pPr>
        <w:pStyle w:val="FirstParagraph"/>
      </w:pPr>
      <w:r>
        <w:t xml:space="preserve">华泰自选股共 3 只，行情样本全部取得，但未获新浪、东方财富、腾讯交叉校验。弘元绿能、风语筑和工商银行均未直接进入今日两条主攻线；整体以跟踪为主、暂不作为主攻方向。</w:t>
      </w:r>
    </w:p>
    <w:p>
      <w:pPr>
        <w:numPr>
          <w:ilvl w:val="0"/>
          <w:numId w:val="1022"/>
        </w:numPr>
        <w:pStyle w:val="Compact"/>
      </w:pPr>
      <w:r>
        <w:t xml:space="preserve">📈 603185 弘元绿能：最新 16.54 元、涨 0.18%，前收 16.51 元；属于光伏硅片/新能源方向，与国产算力、创新药主线不共振。判断：继续观察、反弹不追高；只有光伏板块放量且个股稳住 16.51 元后继续转强，才可低吸跟踪。</w:t>
      </w:r>
    </w:p>
    <w:p>
      <w:pPr>
        <w:numPr>
          <w:ilvl w:val="0"/>
          <w:numId w:val="1022"/>
        </w:numPr>
        <w:pStyle w:val="Compact"/>
      </w:pPr>
      <w:r>
        <w:t xml:space="preserve">📉 603466 风语筑：最新 11.35 元、跌 0.44%，前收 11.40 元；属于数字展示/文化科技，与新闻联播的数字文保、AI 应用存在弱映射，但无板块资金确认。判断：偏弱，以跟踪为主、暂不作为主攻方向；收复 11.40 元前不追高。</w:t>
      </w:r>
    </w:p>
    <w:p>
      <w:pPr>
        <w:numPr>
          <w:ilvl w:val="0"/>
          <w:numId w:val="1022"/>
        </w:numPr>
        <w:pStyle w:val="Compact"/>
      </w:pPr>
      <w:r>
        <w:t xml:space="preserve">📉 601398 工商银行：最新 7.53 元、跌 0.53%，前收 7.57 元；属于银行高股息防御方向，与今日成长主线不共振，但可承担组合稳定器作用。判断：继续观察、偏稳健；若重回 7.57 元且银行板块同步走强，可继续持有，不在加速段追高。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6" w:name="用户实盘持仓策略"/>
      <w:r>
        <w:t xml:space="preserve">💼 用户实盘持仓策略</w:t>
      </w:r>
      <w:bookmarkEnd w:id="46"/>
    </w:p>
    <w:p>
      <w:pPr>
        <w:pStyle w:val="BlockText"/>
      </w:pPr>
      <w:r>
        <w:t xml:space="preserve">行情口径：弘元绿能、风语筑、工商银行使用采集 JSON 中的华泰单源报价；农业银行由本轮华泰模拟行情补充确认。成本与数量来自用户提供信息。日 K、均线、成交量、技术支撑阻力及公司公告未完整核验，因此仅把前收、最新价和开盘区间作为可观察触发位，不虚构技术价位。</w:t>
      </w:r>
    </w:p>
    <w:p>
      <w:pPr>
        <w:pStyle w:val="Heading3"/>
      </w:pPr>
      <w:bookmarkStart w:id="47" w:name="弘元绿能300-股成本-26.6669-元"/>
      <w:r>
        <w:t xml:space="preserve">📉 603185 弘元绿能｜300 股｜成本 26.6669 元</w:t>
      </w:r>
      <w:bookmarkEnd w:id="47"/>
    </w:p>
    <w:p>
      <w:pPr>
        <w:numPr>
          <w:ilvl w:val="0"/>
          <w:numId w:val="1023"/>
        </w:numPr>
        <w:pStyle w:val="Compact"/>
      </w:pPr>
      <w:r>
        <w:t xml:space="preserve">📊 最新可得价 16.54 元，浮亏 37.98%、浮亏 3038.07 元；光伏方向与今日国产算力、创新药主线无明显共振。</w:t>
      </w:r>
    </w:p>
    <w:p>
      <w:pPr>
        <w:numPr>
          <w:ilvl w:val="0"/>
          <w:numId w:val="1023"/>
        </w:numPr>
        <w:pStyle w:val="Compact"/>
      </w:pPr>
      <w:r>
        <w:t xml:space="preserve">💡 今日动作：最该减仓观察，不无条件补仓。若跌破前收 16.51 元后不能快速收回，或反弹仍明显弱于光伏板块，分批减仓；若开盘直接走弱，不以成本价为等待理由。</w:t>
      </w:r>
    </w:p>
    <w:p>
      <w:pPr>
        <w:numPr>
          <w:ilvl w:val="0"/>
          <w:numId w:val="1023"/>
        </w:numPr>
        <w:pStyle w:val="Compact"/>
      </w:pPr>
      <w:r>
        <w:t xml:space="preserve">📈 支撑/阻力：可确认的短线观察位仅有前收 16.51 元和最新价 16.54 元；真实技术支撑、压力及量价结构未核验。</w:t>
      </w:r>
    </w:p>
    <w:p>
      <w:pPr>
        <w:numPr>
          <w:ilvl w:val="0"/>
          <w:numId w:val="1023"/>
        </w:numPr>
        <w:pStyle w:val="Compact"/>
      </w:pPr>
      <w:r>
        <w:t xml:space="preserve">✅ 条件加仓：当前不主动加仓；只有光伏板块放量转强、个股形成上升结构，且行情与成交得到多源确认后，才重新评估小仓加回。</w:t>
      </w:r>
    </w:p>
    <w:p>
      <w:pPr>
        <w:numPr>
          <w:ilvl w:val="0"/>
          <w:numId w:val="1023"/>
        </w:numPr>
        <w:pStyle w:val="Compact"/>
      </w:pPr>
      <w:r>
        <w:t xml:space="preserve">🚫 失效条件：持续失守 16.51 元、相对光伏板块走弱，或出现业绩、减持等不利公告。</w:t>
      </w:r>
    </w:p>
    <w:p>
      <w:pPr>
        <w:numPr>
          <w:ilvl w:val="0"/>
          <w:numId w:val="1023"/>
        </w:numPr>
        <w:pStyle w:val="Compact"/>
      </w:pPr>
      <w:r>
        <w:t xml:space="preserve">⚠️ 风险：深度浮亏、主线不共振、趋势与公告缺失；无条件摊薄可能进一步放大损失。</w:t>
      </w:r>
    </w:p>
    <w:p>
      <w:pPr>
        <w:pStyle w:val="Heading3"/>
      </w:pPr>
      <w:bookmarkStart w:id="48" w:name="风语筑700-股成本-13.2159-元"/>
      <w:r>
        <w:t xml:space="preserve">📉 603466 风语筑｜700 股｜成本 13.2159 元</w:t>
      </w:r>
      <w:bookmarkEnd w:id="48"/>
    </w:p>
    <w:p>
      <w:pPr>
        <w:numPr>
          <w:ilvl w:val="0"/>
          <w:numId w:val="1024"/>
        </w:numPr>
        <w:pStyle w:val="Compact"/>
      </w:pPr>
      <w:r>
        <w:t xml:space="preserve">📊 最新可得价 11.35 元，浮亏 14.12%、浮亏 1306.13 元；文化科技与数字文保存在弱催化，但当前跌破前收 11.40 元。</w:t>
      </w:r>
    </w:p>
    <w:p>
      <w:pPr>
        <w:numPr>
          <w:ilvl w:val="0"/>
          <w:numId w:val="1024"/>
        </w:numPr>
        <w:pStyle w:val="Compact"/>
      </w:pPr>
      <w:r>
        <w:t xml:space="preserve">💡 今日动作：持有观察、弱势减仓。若不能收复 11.40 元且数字展示/AI 应用无板块共振，可分批减仓；若放量收复并站稳 11.40 元，继续观察承接。</w:t>
      </w:r>
    </w:p>
    <w:p>
      <w:pPr>
        <w:numPr>
          <w:ilvl w:val="0"/>
          <w:numId w:val="1024"/>
        </w:numPr>
        <w:pStyle w:val="Compact"/>
      </w:pPr>
      <w:r>
        <w:t xml:space="preserve">📈 支撑/阻力：11.35 元为最新成交参考，11.40 元为前收与首个收复门槛；更高压力和有效技术支撑未核验。</w:t>
      </w:r>
    </w:p>
    <w:p>
      <w:pPr>
        <w:numPr>
          <w:ilvl w:val="0"/>
          <w:numId w:val="1024"/>
        </w:numPr>
        <w:pStyle w:val="Compact"/>
      </w:pPr>
      <w:r>
        <w:t xml:space="preserve">✅ 条件加仓：仅在数字展示或 AI 应用形成明确主线、个股放量突破开盘区间并回踩确认后考虑，不为降低成本而补仓。</w:t>
      </w:r>
    </w:p>
    <w:p>
      <w:pPr>
        <w:numPr>
          <w:ilvl w:val="0"/>
          <w:numId w:val="1024"/>
        </w:numPr>
        <w:pStyle w:val="Compact"/>
      </w:pPr>
      <w:r>
        <w:t xml:space="preserve">🚫 失效条件：持续低于 11.40 元、相对所属板块走弱，或出现业绩/减持风险。</w:t>
      </w:r>
    </w:p>
    <w:p>
      <w:pPr>
        <w:numPr>
          <w:ilvl w:val="0"/>
          <w:numId w:val="1024"/>
        </w:numPr>
        <w:pStyle w:val="Compact"/>
      </w:pPr>
      <w:r>
        <w:t xml:space="preserve">⚠️ 风险：题材轮动快、公告源失败、个股行情仅华泰单源。</w:t>
      </w:r>
    </w:p>
    <w:p>
      <w:pPr>
        <w:pStyle w:val="Heading3"/>
      </w:pPr>
      <w:bookmarkStart w:id="49" w:name="工商银行1900-股成本-7.0601-元"/>
      <w:r>
        <w:t xml:space="preserve">📈 601398 工商银行｜1900 股｜成本 7.0601 元</w:t>
      </w:r>
      <w:bookmarkEnd w:id="49"/>
    </w:p>
    <w:p>
      <w:pPr>
        <w:numPr>
          <w:ilvl w:val="0"/>
          <w:numId w:val="1025"/>
        </w:numPr>
        <w:pStyle w:val="Compact"/>
      </w:pPr>
      <w:r>
        <w:t xml:space="preserve">📊 最新可得价 7.53 元，浮盈 6.66%、浮盈 892.81 元；银行高股息与成长主线不直接共振，但在震荡分化中具防御属性。</w:t>
      </w:r>
    </w:p>
    <w:p>
      <w:pPr>
        <w:numPr>
          <w:ilvl w:val="0"/>
          <w:numId w:val="1025"/>
        </w:numPr>
        <w:pStyle w:val="Compact"/>
      </w:pPr>
      <w:r>
        <w:t xml:space="preserve">💡 今日动作：最稳健持有，重点保护利润。若守住 7.53 元并收复前收 7.57 元，可继续持有；若跌破 7.53 元且银行板块同步转弱，分批减仓锁定收益。</w:t>
      </w:r>
    </w:p>
    <w:p>
      <w:pPr>
        <w:numPr>
          <w:ilvl w:val="0"/>
          <w:numId w:val="1025"/>
        </w:numPr>
        <w:pStyle w:val="Compact"/>
      </w:pPr>
      <w:r>
        <w:t xml:space="preserve">📈 支撑/阻力：7.53 元为最新观察位，7.57 元为前收与短线收复门槛；更高压力和日 K 支撑未核验。</w:t>
      </w:r>
    </w:p>
    <w:p>
      <w:pPr>
        <w:numPr>
          <w:ilvl w:val="0"/>
          <w:numId w:val="1025"/>
        </w:numPr>
        <w:pStyle w:val="Compact"/>
      </w:pPr>
      <w:r>
        <w:t xml:space="preserve">✅ 条件加仓：仅在银行板块同步走强、个股收复 7.57 元后回踩确认且指数不转弱时小仓加仓；不在拉升加速段追高。</w:t>
      </w:r>
    </w:p>
    <w:p>
      <w:pPr>
        <w:numPr>
          <w:ilvl w:val="0"/>
          <w:numId w:val="1025"/>
        </w:numPr>
        <w:pStyle w:val="Compact"/>
      </w:pPr>
      <w:r>
        <w:t xml:space="preserve">🚫 失效条件：跌破 7.53 元后无法收回、银行相对上证由强转弱，或高股息交易集中兑现。</w:t>
      </w:r>
    </w:p>
    <w:p>
      <w:pPr>
        <w:numPr>
          <w:ilvl w:val="0"/>
          <w:numId w:val="1025"/>
        </w:numPr>
        <w:pStyle w:val="Compact"/>
      </w:pPr>
      <w:r>
        <w:t xml:space="preserve">⚠️ 风险：风格切换可能令银行跑输成长，盈利仓也会回撤；行情未获三源校验。</w:t>
      </w:r>
    </w:p>
    <w:p>
      <w:pPr>
        <w:pStyle w:val="Heading3"/>
      </w:pPr>
      <w:bookmarkStart w:id="50" w:name="农业银行5300-股成本-6.4244-元"/>
      <w:r>
        <w:t xml:space="preserve">📈 601288 农业银行｜5300 股｜成本 6.4244 元</w:t>
      </w:r>
      <w:bookmarkEnd w:id="50"/>
    </w:p>
    <w:p>
      <w:pPr>
        <w:numPr>
          <w:ilvl w:val="0"/>
          <w:numId w:val="1026"/>
        </w:numPr>
        <w:pStyle w:val="Compact"/>
      </w:pPr>
      <w:r>
        <w:t xml:space="preserve">📊 华泰补充报价 6.47 元、跌 0.46%，前收 6.50 元；按该价浮盈 0.71%、浮盈 241.68 元，属于银行高股息防御方向。</w:t>
      </w:r>
    </w:p>
    <w:p>
      <w:pPr>
        <w:numPr>
          <w:ilvl w:val="0"/>
          <w:numId w:val="1026"/>
        </w:numPr>
        <w:pStyle w:val="Compact"/>
      </w:pPr>
      <w:r>
        <w:t xml:space="preserve">💡 今日动作：持有观察、保护微利。若不能收复 6.50 元且银行板块转弱，可分批降低仓位；若守住 6.47 元并收复 6.50 元，继续持有。</w:t>
      </w:r>
    </w:p>
    <w:p>
      <w:pPr>
        <w:numPr>
          <w:ilvl w:val="0"/>
          <w:numId w:val="1026"/>
        </w:numPr>
        <w:pStyle w:val="Compact"/>
      </w:pPr>
      <w:r>
        <w:t xml:space="preserve">📈 支撑/阻力：6.47 元为最新观察位，6.50 元为前收与短线收复门槛；可靠技术支撑、压力和成交结构未取得。</w:t>
      </w:r>
    </w:p>
    <w:p>
      <w:pPr>
        <w:numPr>
          <w:ilvl w:val="0"/>
          <w:numId w:val="1026"/>
        </w:numPr>
        <w:pStyle w:val="Compact"/>
      </w:pPr>
      <w:r>
        <w:t xml:space="preserve">✅ 条件加仓：满足</w:t>
      </w:r>
      <w:r>
        <w:t xml:space="preserve">“</w:t>
      </w:r>
      <w:r>
        <w:t xml:space="preserve">银行板块放量走强 + 个股收复 6.50 元并回踩确认 + 指数不转弱</w:t>
      </w:r>
      <w:r>
        <w:t xml:space="preserve">”</w:t>
      </w:r>
      <w:r>
        <w:t xml:space="preserve">后才可小仓加仓；当前不无条件加仓。</w:t>
      </w:r>
    </w:p>
    <w:p>
      <w:pPr>
        <w:numPr>
          <w:ilvl w:val="0"/>
          <w:numId w:val="1026"/>
        </w:numPr>
        <w:pStyle w:val="Compact"/>
      </w:pPr>
      <w:r>
        <w:t xml:space="preserve">🚫 失效条件：跌破 6.47 元后无承接、银行板块共振走弱，或出现重大不利公告。</w:t>
      </w:r>
    </w:p>
    <w:p>
      <w:pPr>
        <w:numPr>
          <w:ilvl w:val="0"/>
          <w:numId w:val="1026"/>
        </w:numPr>
        <w:pStyle w:val="Compact"/>
      </w:pPr>
      <w:r>
        <w:t xml:space="preserve">⚠️ 风险：浮盈缓冲较薄、报价为单一华泰来源，公告和量价未核验。</w:t>
      </w:r>
    </w:p>
    <w:p>
      <w:pPr>
        <w:pStyle w:val="FirstParagraph"/>
      </w:pPr>
      <w:r>
        <w:t xml:space="preserve">📊 按最新可得价，四只持仓合计市值 61505.00 元、合计浮亏 3209.71 元、整体浮亏 4.96%；组合风险主要来自弘元绿能和风语筑，工商银行与农业银行提供部分防御缓冲。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1" w:name="盘前风险清单"/>
      <w:r>
        <w:t xml:space="preserve">⚠️ 盘前风险清单</w:t>
      </w:r>
      <w:bookmarkEnd w:id="51"/>
    </w:p>
    <w:p>
      <w:pPr>
        <w:numPr>
          <w:ilvl w:val="0"/>
          <w:numId w:val="1027"/>
        </w:numPr>
        <w:pStyle w:val="Compact"/>
      </w:pPr>
      <w:r>
        <w:t xml:space="preserve">🚫</w:t>
      </w:r>
      <w:r>
        <w:t xml:space="preserve"> </w:t>
      </w:r>
      <w:r>
        <w:rPr>
          <w:rStyle w:val="VerbatimChar"/>
        </w:rPr>
        <w:t xml:space="preserve">money_flow</w:t>
      </w:r>
      <w:r>
        <w:t xml:space="preserve">、</w:t>
      </w:r>
      <w:r>
        <w:rPr>
          <w:rStyle w:val="VerbatimChar"/>
        </w:rPr>
        <w:t xml:space="preserve">sector_performance</w:t>
      </w:r>
      <w:r>
        <w:t xml:space="preserve">、</w:t>
      </w:r>
      <w:r>
        <w:rPr>
          <w:rStyle w:val="VerbatimChar"/>
        </w:rPr>
        <w:t xml:space="preserve">active_stocks</w:t>
      </w:r>
      <w:r>
        <w:t xml:space="preserve">、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均失败，任何候选方向都不能写成已确认主线。</w:t>
      </w:r>
    </w:p>
    <w:p>
      <w:pPr>
        <w:numPr>
          <w:ilvl w:val="0"/>
          <w:numId w:val="1027"/>
        </w:numPr>
        <w:pStyle w:val="Compact"/>
      </w:pPr>
      <w:r>
        <w:t xml:space="preserve">⚠️ 资金流入 TOP10 与资金流出 TOP10 均未核验，华泰个股净流入筛选不能替代板块资金榜。</w:t>
      </w:r>
    </w:p>
    <w:p>
      <w:pPr>
        <w:numPr>
          <w:ilvl w:val="0"/>
          <w:numId w:val="1027"/>
        </w:numPr>
        <w:pStyle w:val="Compact"/>
      </w:pPr>
      <w:r>
        <w:t xml:space="preserve">⚠️ 全市场成交额比较口径为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，仅引用 26834.03 亿元原始金额，不引用变化百分比。</w:t>
      </w:r>
    </w:p>
    <w:p>
      <w:pPr>
        <w:numPr>
          <w:ilvl w:val="0"/>
          <w:numId w:val="1027"/>
        </w:numPr>
        <w:pStyle w:val="Compact"/>
      </w:pPr>
      <w:r>
        <w:t xml:space="preserve">⚠️ 公告源失败，高换手候选股与实盘持仓交易前必须人工复核交易所公告。</w:t>
      </w:r>
    </w:p>
    <w:p>
      <w:pPr>
        <w:numPr>
          <w:ilvl w:val="0"/>
          <w:numId w:val="1027"/>
        </w:numPr>
        <w:pStyle w:val="Compact"/>
      </w:pPr>
      <w:r>
        <w:t xml:space="preserve">🚫 若开盘高开低走、科创 50 转弱且候选板块无扩散，应主动降仓，不以盘前政策逻辑对抗价格信号。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生成时间：2026-08-10 08:30（北京时间，Asia/Shanghai）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2026-08-10T00:37:58Z</dcterms:created>
  <dcterms:modified xsi:type="dcterms:W3CDTF">2026-08-10T00:37:58Z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