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8-04周二"/>
      <w:r>
        <w:t xml:space="preserve">🕐 午盘总结 | 2026-08-04（周二）</w:t>
      </w:r>
      <w:bookmarkEnd w:id="20"/>
    </w:p>
    <w:p>
      <w:pPr>
        <w:pStyle w:val="BlockText"/>
      </w:pPr>
      <w:r>
        <w:t xml:space="preserve">数据基准：2026-08-04 11:45（北京时间）。指数由新浪主源并经东方财富、腾讯一致校验；市场宽度和全市场成交额为同花顺单源。资金流、板块排行、活跃股、涨跌停明细及核心个股多源校验均因东方财富 HTTP 502 缺失，相关榜单一律降级为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，不以华泰文本补榜。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上午行情概览"/>
      <w:r>
        <w:t xml:space="preserve">📊 上午行情概览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📈🔴</w:t>
      </w:r>
      <w:r>
        <w:t xml:space="preserve"> </w:t>
      </w:r>
      <w:r>
        <w:rPr>
          <w:b/>
        </w:rPr>
        <w:t xml:space="preserve">上证指数</w:t>
      </w:r>
      <w:r>
        <w:t xml:space="preserve">：3,815.5886点，涨0.1555%；</w:t>
      </w:r>
      <w:r>
        <w:rPr>
          <w:b/>
        </w:rPr>
        <w:t xml:space="preserve">深证成指</w:t>
      </w:r>
      <w:r>
        <w:t xml:space="preserve">：13,817.387点，涨2.7446%；</w:t>
      </w:r>
      <w:r>
        <w:rPr>
          <w:b/>
        </w:rPr>
        <w:t xml:space="preserve">创业板指</w:t>
      </w:r>
      <w:r>
        <w:t xml:space="preserve">：3,462.049点，涨4.8295%。三项均获新浪、东方财富、腾讯交叉验证。</w:t>
      </w:r>
    </w:p>
    <w:p>
      <w:pPr>
        <w:numPr>
          <w:ilvl w:val="0"/>
          <w:numId w:val="1001"/>
        </w:numPr>
        <w:pStyle w:val="Compact"/>
      </w:pPr>
      <w:r>
        <w:t xml:space="preserve">📈🔴</w:t>
      </w:r>
      <w:r>
        <w:t xml:space="preserve"> </w:t>
      </w:r>
      <w:r>
        <w:rPr>
          <w:b/>
        </w:rPr>
        <w:t xml:space="preserve">科创50</w:t>
      </w:r>
      <w:r>
        <w:t xml:space="preserve">：1,598.1326点，涨2.9134%；</w:t>
      </w:r>
      <w:r>
        <w:rPr>
          <w:b/>
        </w:rPr>
        <w:t xml:space="preserve">沪深300</w:t>
      </w:r>
      <w:r>
        <w:t xml:space="preserve">：4,585.6547点，涨0.9350%。华泰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文本误写科创50跌5.08%，与三源结构化行情冲突，本报告采用三源一致的涨2.9134%，并明确舍弃冲突文本。</w:t>
      </w:r>
    </w:p>
    <w:p>
      <w:pPr>
        <w:numPr>
          <w:ilvl w:val="0"/>
          <w:numId w:val="1001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全市场半日成交额</w:t>
      </w:r>
      <w:r>
        <w:t xml:space="preserve">：13,695.60亿元，同花顺单源可用；</w:t>
      </w:r>
      <w:r>
        <w:rPr>
          <w:rStyle w:val="VerbatimChar"/>
        </w:rPr>
        <w:t xml:space="preserve">turnover_comparison_scope=unverified</w:t>
      </w:r>
      <w:r>
        <w:t xml:space="preserve">，因此不计算、不引用</w:t>
      </w:r>
      <w:r>
        <w:t xml:space="preserve">“</w:t>
      </w:r>
      <w:r>
        <w:t xml:space="preserve">较昨日同期</w:t>
      </w:r>
      <w:r>
        <w:t xml:space="preserve">”</w:t>
      </w:r>
      <w:r>
        <w:t xml:space="preserve">变化百分比。预测全天成交额20,034.75亿元仅作同花顺模型参考，不作为已实现成交额。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市场宽度</w:t>
      </w:r>
      <w:r>
        <w:t xml:space="preserve">：上涨3,760家、下跌1,599家、平盘170家、停牌7家；涨停85家、跌停1家。该组数据为同花顺单源，赚钱效应明显偏强，但仍缺少涨停个股明细验证扩散质量。</w:t>
      </w:r>
    </w:p>
    <w:p>
      <w:pPr>
        <w:numPr>
          <w:ilvl w:val="0"/>
          <w:numId w:val="1001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一句话特征</w:t>
      </w:r>
      <w:r>
        <w:t xml:space="preserve">：深强沪弱、成长占优，创业板显著领涨，个股普涨；但缺少资金流与板块结构化榜单，不能把华泰文本中的热点直接认定为已交叉验证主线。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领涨板块-top10-与龙头股"/>
      <w:r>
        <w:t xml:space="preserve">🔥 领涨板块 TOP10 与龙头股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板块TOP10未核验</w:t>
      </w:r>
      <w:r>
        <w:t xml:space="preserve">：</w:t>
      </w:r>
      <w:r>
        <w:rPr>
          <w:rStyle w:val="VerbatimChar"/>
        </w:rPr>
        <w:t xml:space="preserve">sector_performance.ok=false</w:t>
      </w:r>
      <w:r>
        <w:t xml:space="preserve">，东方财富接口返回HTTP 502；无法合法给出真实板块涨幅排名、板块成交额及完整龙头榜。</w:t>
      </w:r>
    </w:p>
    <w:p>
      <w:pPr>
        <w:numPr>
          <w:ilvl w:val="0"/>
          <w:numId w:val="100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禁止补榜</w:t>
      </w:r>
      <w:r>
        <w:t xml:space="preserve">：华泰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文本提到算力硬件/CPO、AI应用、CRO/医药、核电及电力设备、铜箔/覆铜板等线索，但它是补充文本，不是本地结构化板块TOP10，不能替代缺失榜单。</w:t>
      </w:r>
    </w:p>
    <w:p>
      <w:pPr>
        <w:numPr>
          <w:ilvl w:val="0"/>
          <w:numId w:val="100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单源观察线索</w:t>
      </w:r>
      <w:r>
        <w:t xml:space="preserve">：华泰文本点名东山精密、中际旭创、通宇通讯、传智教育、药明康德、久盛电气、生益科技等；由于</w:t>
      </w:r>
      <w:r>
        <w:t xml:space="preserve"> 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和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全部失败，这些个股的涨停、连板、涨幅、成交额及资金状态均为</w:t>
      </w:r>
      <w:r>
        <w:rPr>
          <w:b/>
        </w:rPr>
        <w:t xml:space="preserve">未交叉核验</w:t>
      </w:r>
      <w:r>
        <w:t xml:space="preserve">，午后只观察承接，不据此追涨。</w:t>
      </w:r>
    </w:p>
    <w:p>
      <w:pPr>
        <w:numPr>
          <w:ilvl w:val="0"/>
          <w:numId w:val="100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可确认的风格证据</w:t>
      </w:r>
      <w:r>
        <w:t xml:space="preserve">：创业板指涨4.8295%、深证成指涨2.7446%、科创50涨2.9134%，明显强于上证指数涨0.1555%，说明成长方向占优；具体由哪些行业贡献仍需等待板块源恢复。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资金流向"/>
      <w:r>
        <w:t xml:space="preserve">💰 资金流向</w:t>
      </w:r>
      <w:bookmarkEnd w:id="23"/>
    </w:p>
    <w:p>
      <w:pPr>
        <w:pStyle w:val="Heading3"/>
      </w:pPr>
      <w:bookmarkStart w:id="24" w:name="主力净流入-top10"/>
      <w:r>
        <w:t xml:space="preserve">📈 主力净流入 TOP10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未核验</w:t>
      </w:r>
      <w:r>
        <w:t xml:space="preserve">：</w:t>
      </w:r>
      <w:r>
        <w:rPr>
          <w:rStyle w:val="VerbatimChar"/>
        </w:rPr>
        <w:t xml:space="preserve">money_flow.ok=false</w:t>
      </w:r>
      <w:r>
        <w:t xml:space="preserve">，没有任何可合法引用的结构化净流入TOP10及金额。</w:t>
      </w:r>
    </w:p>
    <w:p>
      <w:pPr>
        <w:numPr>
          <w:ilvl w:val="0"/>
          <w:numId w:val="1003"/>
        </w:numPr>
        <w:pStyle w:val="Compact"/>
      </w:pPr>
      <w:r>
        <w:t xml:space="preserve">🚫 华泰文本中的</w:t>
      </w:r>
      <w:r>
        <w:t xml:space="preserve">“</w:t>
      </w:r>
      <w:r>
        <w:t xml:space="preserve">核电主力净流入超21亿元</w:t>
      </w:r>
      <w:r>
        <w:t xml:space="preserve">”</w:t>
      </w:r>
      <w:r>
        <w:t xml:space="preserve">等表述未获新浪/东方财富/腾讯结构化校验，本报告不将其写入真实资金榜。</w:t>
      </w:r>
    </w:p>
    <w:p>
      <w:pPr>
        <w:pStyle w:val="Heading3"/>
      </w:pPr>
      <w:bookmarkStart w:id="25" w:name="主力净流出-top10"/>
      <w:r>
        <w:t xml:space="preserve">📉 主力净流出 TOP10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未核验</w:t>
      </w:r>
      <w:r>
        <w:t xml:space="preserve">：同一资金流来源失败，没有任何可合法引用的结构化净流出TOP10及金额。</w:t>
      </w:r>
    </w:p>
    <w:p>
      <w:pPr>
        <w:numPr>
          <w:ilvl w:val="0"/>
          <w:numId w:val="1004"/>
        </w:numPr>
        <w:pStyle w:val="Compact"/>
      </w:pPr>
      <w:r>
        <w:t xml:space="preserve">🚫 华泰文本中的</w:t>
      </w:r>
      <w:r>
        <w:t xml:space="preserve">“</w:t>
      </w:r>
      <w:r>
        <w:t xml:space="preserve">半导体主力净流出超108亿元</w:t>
      </w:r>
      <w:r>
        <w:t xml:space="preserve">”</w:t>
      </w:r>
      <w:r>
        <w:t xml:space="preserve">等表述未获结构化资金榜确认，本报告不作为真实排名或金额使用。</w:t>
      </w:r>
    </w:p>
    <w:p>
      <w:pPr>
        <w:pStyle w:val="FirstParagraph"/>
      </w:pPr>
      <w:r>
        <w:t xml:space="preserve">💡</w:t>
      </w:r>
      <w:r>
        <w:t xml:space="preserve"> </w:t>
      </w:r>
      <w:r>
        <w:rPr>
          <w:b/>
        </w:rPr>
        <w:t xml:space="preserve">资金结论</w:t>
      </w:r>
      <w:r>
        <w:t xml:space="preserve">：本轮只能确认指数、广度和成交额，不能确认资金流向TOP10。午后若资金榜仍未恢复，所有方向仓位均需按</w:t>
      </w:r>
      <w:r>
        <w:t xml:space="preserve">“</w:t>
      </w:r>
      <w:r>
        <w:t xml:space="preserve">缺少资金确认</w:t>
      </w:r>
      <w:r>
        <w:t xml:space="preserve">”</w:t>
      </w:r>
      <w:r>
        <w:t xml:space="preserve">下调一档。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资金流出预警"/>
      <w:r>
        <w:t xml:space="preserve">⚠️ 资金流出预警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半导体/芯片</w:t>
      </w:r>
      <w:r>
        <w:t xml:space="preserve">：华泰补充文本提示部分半导体个股承压，但同一文本又把科创50误写为跌5.08%，与三源结构化行情冲突；因此只保留</w:t>
      </w:r>
      <w:r>
        <w:t xml:space="preserve">“</w:t>
      </w:r>
      <w:r>
        <w:t xml:space="preserve">关注分化</w:t>
      </w:r>
      <w:r>
        <w:t xml:space="preserve">”</w:t>
      </w:r>
      <w:r>
        <w:t xml:space="preserve">的风险提示，不确认板块跌幅、净流出金额或个股跌幅。</w:t>
      </w:r>
    </w:p>
    <w:p>
      <w:pPr>
        <w:numPr>
          <w:ilvl w:val="0"/>
          <w:numId w:val="1005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银行/保险</w:t>
      </w:r>
      <w:r>
        <w:t xml:space="preserve">：自选股中工商银行11:45华泰单源报7.65元、跌3.89%，可确认该样本偏弱；但板块榜和其他银行行情缺失，不能由一只个股外推完整大金融板块排名。</w:t>
      </w:r>
    </w:p>
    <w:p>
      <w:pPr>
        <w:numPr>
          <w:ilvl w:val="0"/>
          <w:numId w:val="100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预警机制</w:t>
      </w:r>
      <w:r>
        <w:t xml:space="preserve">：若午后弱势方向反抽无量、核心样本无法收复午间价或板块资金继续未获确认，优先减仓而非抄底；若结构化资金源恢复且显示净流出收敛，再重新评估。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盘前预判-vs-上午实盘"/>
      <w:r>
        <w:t xml:space="preserve">🎯 盘前预判 vs 上午实盘</w:t>
      </w:r>
      <w:bookmarkEnd w:id="27"/>
    </w:p>
    <w:p>
      <w:pPr>
        <w:pStyle w:val="Heading3"/>
      </w:pPr>
      <w:bookmarkStart w:id="28" w:name="命中点"/>
      <w:r>
        <w:t xml:space="preserve">✅ 命中点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科技修复窗口得到验证</w:t>
      </w:r>
      <w:r>
        <w:t xml:space="preserve">：盘前将AI应用—软件—算力硬件列为中优先级，上午创业板指涨4.8295%、深证成指涨2.7446%、科创50涨2.9134%，成长风格明显修复。</w:t>
      </w:r>
    </w:p>
    <w:p>
      <w:pPr>
        <w:numPr>
          <w:ilvl w:val="0"/>
          <w:numId w:val="1006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AI应用自选股出现共振样本</w:t>
      </w:r>
      <w:r>
        <w:t xml:space="preserve">：风语筑上午报10.51元、涨3.85%，从盘前10.12元、跌0.88%的偏弱状态转为走强，说明AI应用映射至少在该自选样本上获得价格确认。</w:t>
      </w:r>
    </w:p>
    <w:p>
      <w:pPr>
        <w:numPr>
          <w:ilvl w:val="0"/>
          <w:numId w:val="1006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外盘只作托底、A股量价决定方向的判断有效</w:t>
      </w:r>
      <w:r>
        <w:t xml:space="preserve">：市场宽度达到3,760家上涨、1,599家下跌，盘面强度来自A股上午自身表现，而不是仅靠隔夜叙事。</w:t>
      </w:r>
    </w:p>
    <w:p>
      <w:pPr>
        <w:pStyle w:val="Heading3"/>
      </w:pPr>
      <w:bookmarkStart w:id="29" w:name="偏差点"/>
      <w:r>
        <w:t xml:space="preserve">⚠️ 偏差点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特高压—电网设备未获结构化验证</w:t>
      </w:r>
      <w:r>
        <w:t xml:space="preserve">：盘前列为高优先级，但上午板块榜、资金流和涨停明细均缺失；华泰文本虽提及核电及电力设备，只能作为单源线索，不能判定盘前最高优先级已兑现。</w:t>
      </w:r>
    </w:p>
    <w:p>
      <w:pPr>
        <w:numPr>
          <w:ilvl w:val="0"/>
          <w:numId w:val="100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防守银行弱于预期</w:t>
      </w:r>
      <w:r>
        <w:t xml:space="preserve">：工商银行由盘前7.96元回落至11:45的7.65元，华泰单源显示跌3.89%，没有体现组合稳定器的日内防守效果。</w:t>
      </w:r>
    </w:p>
    <w:p>
      <w:pPr>
        <w:numPr>
          <w:ilvl w:val="0"/>
          <w:numId w:val="100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量能比较无法完成</w:t>
      </w:r>
      <w:r>
        <w:t xml:space="preserve">：半日成交额13,695.60亿元已确认，但同花顺比较口径为</w:t>
      </w:r>
      <w:r>
        <w:rPr>
          <w:rStyle w:val="VerbatimChar"/>
        </w:rPr>
        <w:t xml:space="preserve">unverified</w:t>
      </w:r>
      <w:r>
        <w:t xml:space="preserve">，不能验证盘前关于</w:t>
      </w:r>
      <w:r>
        <w:t xml:space="preserve">“</w:t>
      </w:r>
      <w:r>
        <w:t xml:space="preserve">是否放量</w:t>
      </w:r>
      <w:r>
        <w:t xml:space="preserve">”</w:t>
      </w:r>
      <w:r>
        <w:t xml:space="preserve">的条件，更不能写成交额同比例增减。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0" w:name="华泰自选股观察"/>
      <w:r>
        <w:t xml:space="preserve">🧾 华泰自选股观察</w:t>
      </w:r>
      <w:bookmarkEnd w:id="30"/>
    </w:p>
    <w:p>
      <w:pPr>
        <w:pStyle w:val="FirstParagraph"/>
      </w:pPr>
      <w:r>
        <w:t xml:space="preserve">华泰自选股3只均取得11:45单源报价。整体分化明显：风语筑与成长风格形成价格共振，弘元绿能没有跟随成长指数走强，工商银行与上午主线背离。由于本地个股多源校验失败，三只均需控制结论强度。</w:t>
      </w:r>
    </w:p>
    <w:p>
      <w:pPr>
        <w:numPr>
          <w:ilvl w:val="0"/>
          <w:numId w:val="1008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</w:t>
      </w:r>
      <w:r>
        <w:t xml:space="preserve">：最新15.97元，跌0.50%，买一15.96元、卖一15.97元。所属光伏硅片/新能源，与成长风格和新型电力系统仅有产业链关联，上午未形成价格共振；判断为</w:t>
      </w:r>
      <w:r>
        <w:rPr>
          <w:b/>
        </w:rPr>
        <w:t xml:space="preserve">偏弱、继续观察，不补仓摊薄</w:t>
      </w:r>
      <w:r>
        <w:t xml:space="preserve">。午后只有收复昨收16.05元且光伏分支同步转强，才可提高关注度；否则以跟踪为主、暂不作为主攻方向。</w:t>
      </w:r>
    </w:p>
    <w:p>
      <w:pPr>
        <w:numPr>
          <w:ilvl w:val="0"/>
          <w:numId w:val="1008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603466 风语筑</w:t>
      </w:r>
      <w:r>
        <w:t xml:space="preserve">：最新10.51元，涨3.85%，买一10.51元、卖一10.52元。所属数字文旅/AI应用，与上午成长主线存在价格共振；判断为</w:t>
      </w:r>
      <w:r>
        <w:rPr>
          <w:b/>
        </w:rPr>
        <w:t xml:space="preserve">偏强但不追高，可低吸跟踪</w:t>
      </w:r>
      <w:r>
        <w:t xml:space="preserve">。午后若守住10.51元附近并继续强于AI应用方向，可持有观察；若跌回昨收10.12元下方，共振失效。</w:t>
      </w:r>
    </w:p>
    <w:p>
      <w:pPr>
        <w:numPr>
          <w:ilvl w:val="0"/>
          <w:numId w:val="1008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601398 工商银行</w:t>
      </w:r>
      <w:r>
        <w:t xml:space="preserve">：最新7.65元，跌3.89%，买一7.64元、卖一7.65元。所属国有大行/高股息，与成长主线不共振，上午防守属性弱化；判断为</w:t>
      </w:r>
      <w:r>
        <w:rPr>
          <w:b/>
        </w:rPr>
        <w:t xml:space="preserve">偏弱、以跟踪为主、暂不作为主攻方向</w:t>
      </w:r>
      <w:r>
        <w:t xml:space="preserve">。已有盈利仓可观察7.65元附近承接，若继续弱于银行板块则分批锁定收益，不在下跌中追补。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下午盘操作建议"/>
      <w:r>
        <w:t xml:space="preserve">🎯 下午盘操作建议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市场判断</w:t>
      </w:r>
      <w:r>
        <w:t xml:space="preserve">：偏强但高度结构化。</w:t>
      </w:r>
      <w:r>
        <w:rPr>
          <w:rStyle w:val="VerbatimChar"/>
        </w:rPr>
        <w:t xml:space="preserve">derived.market_style</w:t>
      </w:r>
      <w:r>
        <w:t xml:space="preserve">为</w:t>
      </w:r>
      <w:r>
        <w:t xml:space="preserve">“</w:t>
      </w:r>
      <w:r>
        <w:t xml:space="preserve">偏强/风险偏好较高</w:t>
      </w:r>
      <w:r>
        <w:t xml:space="preserve">”</w:t>
      </w:r>
      <w:r>
        <w:t xml:space="preserve">，指数均值、市场宽度和半日成交支持较高风险偏好；资金榜与板块榜缺失则限制结论置信度。</w:t>
      </w:r>
    </w:p>
    <w:p>
      <w:pPr>
        <w:numPr>
          <w:ilvl w:val="0"/>
          <w:numId w:val="100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激进仓</w:t>
      </w:r>
      <w:r>
        <w:t xml:space="preserve">：总仓不高于80%，只做上午强势方向的回踩承接；风语筑等已形成价格共振的样本也不在急拉时追高。若创业板指跌破3,400点并持续，主动降至50%以下。</w:t>
      </w:r>
    </w:p>
    <w:p>
      <w:pPr>
        <w:numPr>
          <w:ilvl w:val="0"/>
          <w:numId w:val="100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稳健仓</w:t>
      </w:r>
      <w:r>
        <w:t xml:space="preserve">：总仓不高于65%，等待午后主线回踩不破、涨停家数不明显收缩，并优先选择有可确认报价的标的；资金榜未恢复时不满仓。</w:t>
      </w:r>
    </w:p>
    <w:p>
      <w:pPr>
        <w:numPr>
          <w:ilvl w:val="0"/>
          <w:numId w:val="100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保守仓</w:t>
      </w:r>
      <w:r>
        <w:t xml:space="preserve">：总仓不高于50%，以持有和观察为主；没有板块资金、成交和龙头明细三项共振前，不新增题材仓。</w:t>
      </w:r>
    </w:p>
    <w:p>
      <w:pPr>
        <w:numPr>
          <w:ilvl w:val="0"/>
          <w:numId w:val="100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回避/减仓</w:t>
      </w:r>
      <w:r>
        <w:t xml:space="preserve">：工商银行等上午明显弱势样本反抽无承接时先保护利润；弘元绿能未收复16.05元前不加仓；华泰文本点名但缺少个股多源校验的高位连板和涨停股不追。</w:t>
      </w:r>
    </w:p>
    <w:p>
      <w:pPr>
        <w:numPr>
          <w:ilvl w:val="0"/>
          <w:numId w:val="100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核心风险</w:t>
      </w:r>
      <w:r>
        <w:t xml:space="preserve">：创业板上午涨幅较大，午后易出现获利兑现；若上涨家数快速收缩、创业板跌破3,400点或风语筑跌回10.12元下方，应降低成长方向仓位。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下午投资方向分层"/>
      <w:r>
        <w:t xml:space="preserve">🎯 下午投资方向分层</w:t>
      </w:r>
      <w:bookmarkEnd w:id="32"/>
    </w:p>
    <w:p>
      <w:pPr>
        <w:pStyle w:val="Heading3"/>
      </w:pPr>
      <w:bookmarkStart w:id="33" w:name="可参与ai应用数字内容软件优先级中高"/>
      <w:r>
        <w:t xml:space="preserve">🚀 可参与：AI应用—数字内容/软件（优先级：中高）</w:t>
      </w:r>
      <w:bookmarkEnd w:id="33"/>
    </w:p>
    <w:p>
      <w:pPr>
        <w:numPr>
          <w:ilvl w:val="0"/>
          <w:numId w:val="1010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①创业板指涨4.8295%、深证成指涨2.7446%、科创50涨2.9134%，成长风格三源确认；②全市场3,760家上涨、85家涨停，风险偏好偏强；③风语筑华泰单源报10.51元、涨3.85%，自选样本与成长风格共振。板块涨幅和资金金额仍未核验。</w:t>
      </w:r>
    </w:p>
    <w:p>
      <w:pPr>
        <w:numPr>
          <w:ilvl w:val="0"/>
          <w:numId w:val="1010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：风语筑（自选样本、价格共振）；传智教育、中国科传（华泰文本线索，涨停/连板状态未获本地结构化校验，仅观察）。</w:t>
      </w:r>
    </w:p>
    <w:p>
      <w:pPr>
        <w:numPr>
          <w:ilvl w:val="0"/>
          <w:numId w:val="101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：激进仓等强势股回踩承接，小仓试错；稳健仓等午后板块结构化资金恢复并继续净流入；保守仓只观察，不接一致性加速。</w:t>
      </w:r>
    </w:p>
    <w:p>
      <w:pPr>
        <w:numPr>
          <w:ilvl w:val="0"/>
          <w:numId w:val="1010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：创业板保持强势、风语筑守住10.51元附近、AI应用样本不出现集体冲高回落。</w:t>
      </w:r>
    </w:p>
    <w:p>
      <w:pPr>
        <w:numPr>
          <w:ilvl w:val="0"/>
          <w:numId w:val="101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：创业板跌破3,400点并持续，或风语筑跌回10.12元下方；资金榜恢复后若该方向显著净流出，也停止参与。</w:t>
      </w:r>
    </w:p>
    <w:p>
      <w:pPr>
        <w:numPr>
          <w:ilvl w:val="0"/>
          <w:numId w:val="101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：上午涨幅较大后的兑现、华泰文本线索缺少多源校验、AI商业化和中报预期波动。</w:t>
      </w:r>
    </w:p>
    <w:p>
      <w:pPr>
        <w:pStyle w:val="Heading3"/>
      </w:pPr>
      <w:bookmarkStart w:id="34" w:name="只观察算力硬件光模块pcb优先级中"/>
      <w:r>
        <w:t xml:space="preserve">🔎 只观察：算力硬件—光模块/PCB（优先级：中）</w:t>
      </w:r>
      <w:bookmarkEnd w:id="34"/>
    </w:p>
    <w:p>
      <w:pPr>
        <w:numPr>
          <w:ilvl w:val="0"/>
          <w:numId w:val="1011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①成长指数全面走强；②半日成交额13,695.60亿元，市场交易活跃，但同比口径未核验；③华泰补充文本将CPO、元件与覆铜板列为强势线索。因板块榜、资金榜、活跃股与涨停明细全部缺失，证据链不足以支持追涨。</w:t>
      </w:r>
    </w:p>
    <w:p>
      <w:pPr>
        <w:numPr>
          <w:ilvl w:val="0"/>
          <w:numId w:val="1011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：中际旭创、东山精密、通宇通讯、生益科技，均仅来自华泰文本线索，具体涨幅、涨停和成交状态未获本地多源校验。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：激进仓也只观察回踩与承接，不追华泰文本所述涨停样本；稳健和保守仓等待结构化资金、板块成交及核心个股校验恢复。</w:t>
      </w:r>
    </w:p>
    <w:p>
      <w:pPr>
        <w:numPr>
          <w:ilvl w:val="0"/>
          <w:numId w:val="1011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：午后板块继续强于创业板，结构化资金恢复后显示净流入，且核心标的不出现炸板或冲高回落。</w:t>
      </w:r>
    </w:p>
    <w:p>
      <w:pPr>
        <w:numPr>
          <w:ilvl w:val="0"/>
          <w:numId w:val="101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：创业板转弱、板块高开低走，或资金榜恢复后显示显著净流出。</w:t>
      </w:r>
    </w:p>
    <w:p>
      <w:pPr>
        <w:numPr>
          <w:ilvl w:val="0"/>
          <w:numId w:val="101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：超跌反弹持续性不足、拥挤交易、高位兑现；华泰科创50文本存在已确认错误，不能据其余文字直接加仓。</w:t>
      </w:r>
    </w:p>
    <w:p>
      <w:pPr>
        <w:pStyle w:val="Heading3"/>
      </w:pPr>
      <w:bookmarkStart w:id="35" w:name="应回避银行高股息弱势补跌优先级回避"/>
      <w:r>
        <w:t xml:space="preserve">🚫 应回避：银行/高股息弱势补跌（优先级：回避）</w:t>
      </w:r>
      <w:bookmarkEnd w:id="35"/>
    </w:p>
    <w:p>
      <w:pPr>
        <w:numPr>
          <w:ilvl w:val="0"/>
          <w:numId w:val="1012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：①上证指数仅涨0.1555%，显著弱于深证与创业板；②工商银行华泰单源报7.65元、跌3.89%，与成长主线背离；③华泰补充文本将银行列为弱势方向，但板块排名与资金金额未核验。</w:t>
      </w:r>
    </w:p>
    <w:p>
      <w:pPr>
        <w:numPr>
          <w:ilvl w:val="0"/>
          <w:numId w:val="101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：工商银行为可确认的弱势样本；农业银行本轮无可确认午盘报价，不补数、不作强结论。</w:t>
      </w:r>
    </w:p>
    <w:p>
      <w:pPr>
        <w:numPr>
          <w:ilvl w:val="0"/>
          <w:numId w:val="101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：不做下跌接力；已有盈利防守仓可保留底仓，但反抽无承接时分批锁定收益。保守资金等待板块止跌而不是边跌边加。</w:t>
      </w:r>
    </w:p>
    <w:p>
      <w:pPr>
        <w:numPr>
          <w:ilvl w:val="0"/>
          <w:numId w:val="101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重新观察条件</w:t>
      </w:r>
      <w:r>
        <w:t xml:space="preserve">：工商银行收复7.65元后继续转强，银行板块结构化资金恢复并转为净流入。</w:t>
      </w:r>
    </w:p>
    <w:p>
      <w:pPr>
        <w:numPr>
          <w:ilvl w:val="0"/>
          <w:numId w:val="101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：银行继续弱于上证指数、工商银行跌破午间承接并扩大跌幅，则防守逻辑继续失效。</w:t>
      </w:r>
    </w:p>
    <w:p>
      <w:pPr>
        <w:numPr>
          <w:ilvl w:val="0"/>
          <w:numId w:val="101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：红利交易拥挤松动、利率与净息差压力、组合内银行持仓集中。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数据质量与风险提示"/>
      <w:r>
        <w:t xml:space="preserve">⚠️ 数据质量与风险提示</w:t>
      </w:r>
      <w:bookmarkEnd w:id="36"/>
    </w:p>
    <w:p>
      <w:pPr>
        <w:numPr>
          <w:ilvl w:val="0"/>
          <w:numId w:val="1013"/>
        </w:numPr>
        <w:pStyle w:val="Compact"/>
      </w:pPr>
      <w:r>
        <w:t xml:space="preserve">📊 关键源覆盖3/7，覆盖率42.86%；可用的是指数、同花顺市场宽度和同花顺成交额。</w:t>
      </w:r>
    </w:p>
    <w:p>
      <w:pPr>
        <w:numPr>
          <w:ilvl w:val="0"/>
          <w:numId w:val="1013"/>
        </w:numPr>
        <w:pStyle w:val="Compact"/>
      </w:pPr>
      <w:r>
        <w:t xml:space="preserve">💰 市场宽度、成交额均为单源可用；指数由新浪、东方财富、腾讯交叉验证一致。</w:t>
      </w:r>
    </w:p>
    <w:p>
      <w:pPr>
        <w:numPr>
          <w:ilvl w:val="0"/>
          <w:numId w:val="1013"/>
        </w:numPr>
        <w:pStyle w:val="Compact"/>
      </w:pPr>
      <w:r>
        <w:t xml:space="preserve">🚫 资金流入TOP10、资金流出TOP10、板块TOP10、活跃股、涨跌停个股明细及核心个股多源校验均未核验，报告没有自行补榜或补数。</w:t>
      </w:r>
    </w:p>
    <w:p>
      <w:pPr>
        <w:numPr>
          <w:ilvl w:val="0"/>
          <w:numId w:val="1013"/>
        </w:numPr>
        <w:pStyle w:val="Compact"/>
      </w:pPr>
      <w:r>
        <w:t xml:space="preserve">⚠️ 华泰文本仅作补充线索；科创50方向与三源结构化行情冲突处已明确列出并舍弃错误文本。</w:t>
      </w:r>
    </w:p>
    <w:p>
      <w:pPr>
        <w:numPr>
          <w:ilvl w:val="0"/>
          <w:numId w:val="1013"/>
        </w:numPr>
        <w:pStyle w:val="Compact"/>
      </w:pPr>
      <w:r>
        <w:t xml:space="preserve">💡 本报告为午盘策略，不构成投资建议；午后执行以价格承接、资金恢复情况和失效条件为准。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生成时间：2026-08-04 11:47（北京时间，Asia/Shanghai）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2026-08-04T03:51:42Z</dcterms:created>
  <dcterms:modified xsi:type="dcterms:W3CDTF">2026-08-04T03:51:42Z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