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04周二"/>
      <w:r>
        <w:t xml:space="preserve">🕑 全天复盘 | 2026-08-04（周二）</w:t>
      </w:r>
      <w:bookmarkEnd w:id="20"/>
    </w:p>
    <w:p>
      <w:pPr>
        <w:pStyle w:val="BlockText"/>
      </w:pPr>
      <w:r>
        <w:t xml:space="preserve">数据基准：2026-08-04 15:15（北京时间）。指数由新浪主源并经东方财富、腾讯交叉验证；市场宽度与全市场成交额为同花顺单源可用。东方财富资金流、板块排行、活跃股、涨跌停明细和核心个股多源校验均因 HTTP 502 失败，缺失榜单全部降级为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，不以华泰文本静默补齐。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📈🔴</w:t>
      </w:r>
      <w:r>
        <w:t xml:space="preserve"> </w:t>
      </w:r>
      <w:r>
        <w:rPr>
          <w:b/>
        </w:rPr>
        <w:t xml:space="preserve">上证指数</w:t>
      </w:r>
      <w:r>
        <w:t xml:space="preserve">：3,822.2846点，涨0.3313%；</w:t>
      </w:r>
      <w:r>
        <w:rPr>
          <w:b/>
        </w:rPr>
        <w:t xml:space="preserve">深证成指</w:t>
      </w:r>
      <w:r>
        <w:t xml:space="preserve">：13,885.711点，涨3.2526%；</w:t>
      </w:r>
      <w:r>
        <w:rPr>
          <w:b/>
        </w:rPr>
        <w:t xml:space="preserve">创业板指</w:t>
      </w:r>
      <w:r>
        <w:t xml:space="preserve">：3,488.966点，涨5.6445%。</w:t>
      </w:r>
    </w:p>
    <w:p>
      <w:pPr>
        <w:numPr>
          <w:ilvl w:val="0"/>
          <w:numId w:val="1001"/>
        </w:numPr>
        <w:pStyle w:val="Compact"/>
      </w:pPr>
      <w:r>
        <w:t xml:space="preserve">📈🔴</w:t>
      </w:r>
      <w:r>
        <w:t xml:space="preserve"> </w:t>
      </w:r>
      <w:r>
        <w:rPr>
          <w:b/>
        </w:rPr>
        <w:t xml:space="preserve">科创50</w:t>
      </w:r>
      <w:r>
        <w:t xml:space="preserve">：1,616.3582点，涨4.0871%；</w:t>
      </w:r>
      <w:r>
        <w:rPr>
          <w:b/>
        </w:rPr>
        <w:t xml:space="preserve">沪深300</w:t>
      </w:r>
      <w:r>
        <w:t xml:space="preserve">：4,600.9304点，涨1.2712%。五项指数均获新浪、东方财富、腾讯交叉验证，未发现点位或涨跌幅冲突。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全市场成交额</w:t>
      </w:r>
      <w:r>
        <w:t xml:space="preserve">：22,284.43亿元，同花顺单源可用；同花顺另列昨日成交额20,110.58亿元、金额差2,173.85亿元，但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，因此只展示原始金额，不计算或使用变化百分比。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市场宽度</w:t>
      </w:r>
      <w:r>
        <w:t xml:space="preserve">：上涨3,642家、下跌1,747家、平盘140家、停牌7家；涨停140家、跌停1家。该组数据为同花顺单源，显示赚钱效应偏强，但涨停个股明细未核验。</w:t>
      </w:r>
    </w:p>
    <w:p>
      <w:pPr>
        <w:numPr>
          <w:ilvl w:val="0"/>
          <w:numId w:val="100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沪深300ETF净申购方向</w:t>
      </w:r>
      <w:r>
        <w:t xml:space="preserve">：采集 JSON 未提供可确认数据，外资方向代理指标记为</w:t>
      </w:r>
      <w:r>
        <w:rPr>
          <w:b/>
        </w:rPr>
        <w:t xml:space="preserve">未核验</w:t>
      </w:r>
      <w:r>
        <w:t xml:space="preserve">，不得用华泰文本中的</w:t>
      </w:r>
      <w:r>
        <w:t xml:space="preserve">“</w:t>
      </w:r>
      <w:r>
        <w:t xml:space="preserve">北向资金大概率净流入</w:t>
      </w:r>
      <w:r>
        <w:t xml:space="preserve">”</w:t>
      </w:r>
      <w:r>
        <w:t xml:space="preserve">替代。</w:t>
      </w:r>
    </w:p>
    <w:p>
      <w:pPr>
        <w:numPr>
          <w:ilvl w:val="0"/>
          <w:numId w:val="1001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一句话特征</w:t>
      </w:r>
      <w:r>
        <w:t xml:space="preserve">：成长指数大幅领先、午后继续扩张，市场呈放量普涨与高风险偏好特征；但板块和资金榜缺失，不能把单源热点叙事直接升级为已确认主线。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指数午后继续增强</w:t>
      </w:r>
      <w:r>
        <w:t xml:space="preserve">：相对午间涨幅，上证指数增加0.1758个百分点，深证成指增加0.5080个百分点，创业板指增加0.8150个百分点，科创50增加1.1737个百分点，沪深300增加0.3362个百分点。</w:t>
      </w:r>
    </w:p>
    <w:p>
      <w:pPr>
        <w:numPr>
          <w:ilvl w:val="0"/>
          <w:numId w:val="1002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午后新增成交额</w:t>
      </w:r>
      <w:r>
        <w:t xml:space="preserve">：按同花顺当日累计值计算，午间13,695.60亿元至收盘22,284.43亿元，午后新增8,588.83亿元；这是同一交易日累计差值，不是同比或环比增幅。</w:t>
      </w:r>
    </w:p>
    <w:p>
      <w:pPr>
        <w:numPr>
          <w:ilvl w:val="0"/>
          <w:numId w:val="1002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广度略收敛但仍强</w:t>
      </w:r>
      <w:r>
        <w:t xml:space="preserve">：上涨家数由3,760家降至3,642家，下跌家数由1,599家增至1,747家；涨停数由85家增至140家，跌停维持1家。说明午后指数和涨停扩散增强，但普通个股广度较午间略有回落。</w:t>
      </w:r>
    </w:p>
    <w:p>
      <w:pPr>
        <w:numPr>
          <w:ilvl w:val="0"/>
          <w:numId w:val="1002"/>
        </w:numPr>
        <w:pStyle w:val="Compact"/>
      </w:pPr>
      <w:r>
        <w:t xml:space="preserve">🎯</w:t>
      </w:r>
      <w:r>
        <w:t xml:space="preserve"> </w:t>
      </w:r>
      <w:r>
        <w:rPr>
          <w:b/>
        </w:rPr>
        <w:t xml:space="preserve">午盘观点验证</w:t>
      </w:r>
      <w:r>
        <w:t xml:space="preserve">：午盘判断</w:t>
      </w:r>
      <w:r>
        <w:t xml:space="preserve">“</w:t>
      </w:r>
      <w:r>
        <w:t xml:space="preserve">成长占优、偏强但结构化</w:t>
      </w:r>
      <w:r>
        <w:t xml:space="preserve">”</w:t>
      </w:r>
      <w:r>
        <w:t xml:space="preserve">获得指数与涨停数验证；创业板未触发跌破3,400点的降仓条件，收于3,488.966点。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轮动路径未核验</w:t>
      </w:r>
      <w:r>
        <w:t xml:space="preserve">：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均失败，无法确认资金具体从银行流向CPO、创新药或AI应用；华泰两份文本对半导体方向甚至存在相反描述，不能据此复原资金迁移路径。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与龙头股"/>
      <w:r>
        <w:t xml:space="preserve">🔥 领涨板块 TOP10 与龙头股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板块涨幅TOP10未核验</w:t>
      </w:r>
      <w:r>
        <w:t xml:space="preserve">：</w:t>
      </w:r>
      <w:r>
        <w:rPr>
          <w:rStyle w:val="VerbatimChar"/>
        </w:rPr>
        <w:t xml:space="preserve">sector_performance.ok=false</w:t>
      </w:r>
      <w:r>
        <w:t xml:space="preserve">，没有结构完整的板块涨幅、成交额及领涨股榜单。</w:t>
      </w:r>
    </w:p>
    <w:p>
      <w:pPr>
        <w:numPr>
          <w:ilvl w:val="0"/>
          <w:numId w:val="100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TOP20龙头详细榜单未核验</w:t>
      </w:r>
      <w:r>
        <w:t xml:space="preserve">：</w:t>
      </w:r>
      <w:r>
        <w:rPr>
          <w:rStyle w:val="VerbatimChar"/>
        </w:rPr>
        <w:t xml:space="preserve">active_stocks.ok=false</w:t>
      </w:r>
      <w:r>
        <w:t xml:space="preserve">、</w:t>
      </w:r>
      <w:r>
        <w:rPr>
          <w:rStyle w:val="VerbatimChar"/>
        </w:rPr>
        <w:t xml:space="preserve">limit_stocks.ok=false</w:t>
      </w:r>
      <w:r>
        <w:t xml:space="preserve">、</w:t>
      </w:r>
      <w:r>
        <w:rPr>
          <w:rStyle w:val="VerbatimChar"/>
        </w:rPr>
        <w:t xml:space="preserve">stock_quote_cross_checks.ok=false</w:t>
      </w:r>
      <w:r>
        <w:t xml:space="preserve">，不能合法生成真实TOP20，也不能确认华泰文本所述涨停、连板和成交额状态。</w:t>
      </w:r>
    </w:p>
    <w:p>
      <w:pPr>
        <w:numPr>
          <w:ilvl w:val="0"/>
          <w:numId w:val="1003"/>
        </w:numPr>
        <w:pStyle w:val="Compact"/>
      </w:pPr>
      <w:r>
        <w:t xml:space="preserve">🔎</w:t>
      </w:r>
      <w:r>
        <w:t xml:space="preserve"> </w:t>
      </w:r>
      <w:r>
        <w:rPr>
          <w:b/>
        </w:rPr>
        <w:t xml:space="preserve">华泰单源线索</w:t>
      </w:r>
      <w:r>
        <w:t xml:space="preserve">：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提及CPO/光通信、算力租赁、PCB/元件、CRO/创新药与AI应用；这些只作为明日观察池，不替代缺失的本地结构化板块榜。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可确认样本</w:t>
      </w:r>
      <w:r>
        <w:t xml:space="preserve">：华泰自选股报价显示风语筑11.13元、涨9.98%，达到其涨停价11.13元；该价格为华泰单源，且缺少新浪/东方财富/腾讯个股校验，因此只确认</w:t>
      </w:r>
      <w:r>
        <w:t xml:space="preserve">“</w:t>
      </w:r>
      <w:r>
        <w:t xml:space="preserve">华泰单源收盘强势样本</w:t>
      </w:r>
      <w:r>
        <w:t xml:space="preserve">”</w:t>
      </w:r>
      <w:r>
        <w:t xml:space="preserve">。</w:t>
      </w:r>
    </w:p>
    <w:p>
      <w:pPr>
        <w:pStyle w:val="Heading3"/>
      </w:pPr>
      <w:bookmarkStart w:id="24" w:name="华泰单源个股净流入筛选前10"/>
      <w:r>
        <w:t xml:space="preserve">💰 华泰单源个股净流入筛选前10</w:t>
      </w:r>
      <w:bookmarkEnd w:id="24"/>
    </w:p>
    <w:p>
      <w:pPr>
        <w:pStyle w:val="BlockText"/>
      </w:pPr>
      <w:r>
        <w:t xml:space="preserve">下列名单来自采集 JSON 的</w:t>
      </w:r>
      <w:r>
        <w:t xml:space="preserve"> </w:t>
      </w:r>
      <w:r>
        <w:rPr>
          <w:rStyle w:val="VerbatimChar"/>
        </w:rPr>
        <w:t xml:space="preserve">htsc_skills.data.select_stock</w:t>
      </w:r>
      <w:r>
        <w:t xml:space="preserve">，属于华泰单源结构化筛选结果，不等同于已缺失的东方财富全市场资金流入TOP10。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药明康德（603259）</w:t>
      </w:r>
      <w:r>
        <w:t xml:space="preserve">：141.35元，涨10.00%，主力净流入20.59亿元。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行云科技（300209）</w:t>
      </w:r>
      <w:r>
        <w:t xml:space="preserve">：33.64元，涨20.01%，主力净流入5.67亿元。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深信服（300454）</w:t>
      </w:r>
      <w:r>
        <w:t xml:space="preserve">：122.50元，涨6.24%，主力净流入1.28亿元。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海康威视（002415）</w:t>
      </w:r>
      <w:r>
        <w:t xml:space="preserve">：38.63元，涨1.79%，主力净流入8,539.73万元。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普洛药业（000739）</w:t>
      </w:r>
      <w:r>
        <w:t xml:space="preserve">：22.12元，涨10.00%，主力净流入7,951.78万元。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中远海特（600428）</w:t>
      </w:r>
      <w:r>
        <w:t xml:space="preserve">：11.58元，涨2.03%，主力净流入4,315.37万元。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博硕科技（300951）</w:t>
      </w:r>
      <w:r>
        <w:t xml:space="preserve">：59.72元，涨14.74%，主力净流入2,912.30万元。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绿盟科技（300369）</w:t>
      </w:r>
      <w:r>
        <w:t xml:space="preserve">：7.62元，涨2.14%，主力净流入2,651.57万元。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海油发展（600968）</w:t>
      </w:r>
      <w:r>
        <w:t xml:space="preserve">：3.93元，跌0.76%，主力净流入2,540.51万元。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威派格（603956）</w:t>
      </w:r>
      <w:r>
        <w:t xml:space="preserve">：7.18元，涨4.21%，主力净流入2,504.68万元。</w:t>
      </w:r>
    </w:p>
    <w:p>
      <w:pPr>
        <w:pStyle w:val="FirstParagraph"/>
      </w:pPr>
      <w:r>
        <w:t xml:space="preserve">⚠️ 由于本地核心个股多源校验失败，上述价格、涨幅和净流入金额均须标注为华泰单源，不据此直接追涨。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领跌板块-top5-与资金流出"/>
      <w:r>
        <w:t xml:space="preserve">🔴 领跌板块 TOP5 与资金流出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领跌板块TOP5未核验</w:t>
      </w:r>
      <w:r>
        <w:t xml:space="preserve">：</w:t>
      </w:r>
      <w:r>
        <w:rPr>
          <w:rStyle w:val="VerbatimChar"/>
        </w:rPr>
        <w:t xml:space="preserve">sector_performance.ok=false</w:t>
      </w:r>
      <w:r>
        <w:t xml:space="preserve">，不得把华泰文本中的银行、保险、白酒或汽车整车写成真实TOP5排名及具体跌幅。</w:t>
      </w:r>
    </w:p>
    <w:p>
      <w:pPr>
        <w:numPr>
          <w:ilvl w:val="0"/>
          <w:numId w:val="100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主力净流出TOP10未核验</w:t>
      </w:r>
      <w:r>
        <w:t xml:space="preserve">：</w:t>
      </w:r>
      <w:r>
        <w:rPr>
          <w:rStyle w:val="VerbatimChar"/>
        </w:rPr>
        <w:t xml:space="preserve">money_flow.ok=false</w:t>
      </w:r>
      <w:r>
        <w:t xml:space="preserve">，采集 JSON 没有结构化净流出TOP10及金额，禁止自行补榜。</w:t>
      </w:r>
    </w:p>
    <w:p>
      <w:pPr>
        <w:numPr>
          <w:ilvl w:val="0"/>
          <w:numId w:val="1005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可确认弱势样本</w:t>
      </w:r>
      <w:r>
        <w:t xml:space="preserve">：工商银行华泰单源收于7.66元、跌3.77%；它只能证明该自选样本偏弱，不能由单只个股外推完整银行板块资金流出排名。</w:t>
      </w:r>
    </w:p>
    <w:p>
      <w:pPr>
        <w:numPr>
          <w:ilvl w:val="0"/>
          <w:numId w:val="100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冲突提示</w:t>
      </w:r>
      <w:r>
        <w:t xml:space="preserve">：华泰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称科技成长全面爆发，而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同日却称三大指数收跌、半导体净流出超200亿元；后者与三源一致的指数上涨事实直接冲突。冲突文本全部舍弃，不作为板块或资金结论。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资金流向与风险信号"/>
      <w:r>
        <w:t xml:space="preserve">💰 资金流向与风险信号</w:t>
      </w:r>
      <w:bookmarkEnd w:id="26"/>
    </w:p>
    <w:p>
      <w:pPr>
        <w:pStyle w:val="Heading3"/>
      </w:pPr>
      <w:bookmarkStart w:id="27" w:name="主力净流入-top10"/>
      <w:r>
        <w:t xml:space="preserve">📈 主力净流入 TOP10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正式资金流入TOP10：未核验</w:t>
      </w:r>
      <w:r>
        <w:t xml:space="preserve">。东方财富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返回HTTP 502，没有可用的全市场结构化榜单。</w:t>
      </w:r>
    </w:p>
    <w:p>
      <w:pPr>
        <w:numPr>
          <w:ilvl w:val="0"/>
          <w:numId w:val="1006"/>
        </w:numPr>
        <w:pStyle w:val="Compact"/>
      </w:pPr>
      <w:r>
        <w:t xml:space="preserve">🔎 上文已完整列出采集 JSON 中华泰单源</w:t>
      </w:r>
      <w:r>
        <w:t xml:space="preserve">“</w:t>
      </w:r>
      <w:r>
        <w:t xml:space="preserve">净流入且上涨趋势</w:t>
      </w:r>
      <w:r>
        <w:t xml:space="preserve">”</w:t>
      </w:r>
      <w:r>
        <w:t xml:space="preserve">前10，但其口径与正式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榜单不同，不能混称或交叉验证。</w:t>
      </w:r>
    </w:p>
    <w:p>
      <w:pPr>
        <w:pStyle w:val="Heading3"/>
      </w:pPr>
      <w:bookmarkStart w:id="28" w:name="主力净流出-top10"/>
      <w:r>
        <w:t xml:space="preserve">📉 主力净流出 TOP10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正式资金流出TOP10：未核验</w:t>
      </w:r>
      <w:r>
        <w:t xml:space="preserve">。采集 JSON 没有任何结构化净流出榜单，无法列出板块名、个股名或金额。</w:t>
      </w:r>
    </w:p>
    <w:p>
      <w:pPr>
        <w:numPr>
          <w:ilvl w:val="0"/>
          <w:numId w:val="1007"/>
        </w:numPr>
        <w:pStyle w:val="Compact"/>
      </w:pPr>
      <w:r>
        <w:t xml:space="preserve">🚫 不采用搜索数据，也不采用华泰冲突文本中的</w:t>
      </w:r>
      <w:r>
        <w:t xml:space="preserve">“</w:t>
      </w:r>
      <w:r>
        <w:t xml:space="preserve">半导体净流出超200亿元</w:t>
      </w:r>
      <w:r>
        <w:t xml:space="preserve">”</w:t>
      </w:r>
      <w:r>
        <w:t xml:space="preserve">等金额补榜。</w:t>
      </w:r>
    </w:p>
    <w:p>
      <w:pPr>
        <w:pStyle w:val="Heading3"/>
      </w:pPr>
      <w:bookmarkStart w:id="29" w:name="风险信号"/>
      <w:r>
        <w:t xml:space="preserve">⚠️ 风险信号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📉 成长指数单日涨幅较大，创业板指涨5.6445%、科创50涨4.0871%，次日面临获利兑现与分化风险。</w:t>
      </w:r>
    </w:p>
    <w:p>
      <w:pPr>
        <w:numPr>
          <w:ilvl w:val="0"/>
          <w:numId w:val="1008"/>
        </w:numPr>
        <w:pStyle w:val="Compact"/>
      </w:pPr>
      <w:r>
        <w:t xml:space="preserve">📊 上涨家数午后减少118家、下跌家数增加148家，而涨停增加55家，提示强势资金可能进一步向高辨识度标的集中。</w:t>
      </w:r>
    </w:p>
    <w:p>
      <w:pPr>
        <w:numPr>
          <w:ilvl w:val="0"/>
          <w:numId w:val="1008"/>
        </w:numPr>
        <w:pStyle w:val="Compact"/>
      </w:pPr>
      <w:r>
        <w:t xml:space="preserve">💰 成交额比较口径未核验，不能把2,173.85亿元金额差直接写成可靠的同比放量比例，更不能据此无条件上调仓位。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华泰自选股观察"/>
      <w:r>
        <w:t xml:space="preserve">🧾 华泰自选股观察</w:t>
      </w:r>
      <w:bookmarkEnd w:id="30"/>
    </w:p>
    <w:p>
      <w:pPr>
        <w:pStyle w:val="FirstParagraph"/>
      </w:pPr>
      <w:r>
        <w:t xml:space="preserve">华泰自选股3只全部取得收盘报价：风语筑与成长风格形成强共振，弘元绿能逆势偏弱，工商银行与成长主线背离。三只均缺少新浪/东方财富/腾讯个股多源校验，以下判断按华泰单源降级使用。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：最新15.82元，跌1.43%，昨收16.05元。所属光伏硅片/新能源，与当日成长行情和新型电力系统只有产业链关联，价格没有形成共振；判断为</w:t>
      </w:r>
      <w:r>
        <w:rPr>
          <w:b/>
        </w:rPr>
        <w:t xml:space="preserve">偏弱、继续观察，不补仓摊薄，以跟踪为主、暂不作为主攻方向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603466 风语筑</w:t>
      </w:r>
      <w:r>
        <w:t xml:space="preserve">：最新11.13元，涨9.98%，等于华泰返回的涨停价11.13元。所属数字文旅/AI应用，与成长风格明显共振；判断为</w:t>
      </w:r>
      <w:r>
        <w:rPr>
          <w:b/>
        </w:rPr>
        <w:t xml:space="preserve">偏强但不追高，明日只观察封板承接与分歧回踩，可低吸跟踪，不做一致性追涨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：最新7.66元，跌3.77%，昨收7.96元。所属国有大行/高股息，与当日成长主线不共振，防守属性日内弱化；判断为</w:t>
      </w:r>
      <w:r>
        <w:rPr>
          <w:b/>
        </w:rPr>
        <w:t xml:space="preserve">偏弱、盈利仓继续观察，反抽无承接可锁定部分收益，以跟踪为主、暂不作为主攻方向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用户实盘持仓收盘观察"/>
      <w:r>
        <w:t xml:space="preserve">💼 用户实盘持仓收盘观察</w:t>
      </w:r>
      <w:bookmarkEnd w:id="31"/>
    </w:p>
    <w:p>
      <w:pPr>
        <w:pStyle w:val="BlockText"/>
      </w:pPr>
      <w:r>
        <w:t xml:space="preserve">本节为复盘补充。弘元绿能、风语筑、工商银行采用华泰单源收盘报价；农业银行没有可确认收盘价。个股趋势、量价、公告和多源校验缺失，策略以条件式触发为主，不虚构均线或支撑阻力。</w:t>
      </w:r>
    </w:p>
    <w:p>
      <w:pPr>
        <w:pStyle w:val="Heading3"/>
      </w:pPr>
      <w:bookmarkStart w:id="32" w:name="弘元绿能603185.sh300股成本26.6669元"/>
      <w:r>
        <w:t xml:space="preserve">📉 弘元绿能（603185.SH）｜300股｜成本26.6669元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收盘盈亏</w:t>
      </w:r>
      <w:r>
        <w:t xml:space="preserve">：15.82元，相对成本亏损40.68%，按300股静态计算浮亏3,254.07元。</w:t>
      </w:r>
    </w:p>
    <w:p>
      <w:pPr>
        <w:numPr>
          <w:ilvl w:val="0"/>
          <w:numId w:val="101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</w:t>
      </w:r>
      <w:r>
        <w:t xml:space="preserve">：反弹减仓观察，不无条件补仓。今日成长普涨而个股仍跌1.43%，相对强度偏弱。</w:t>
      </w:r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减仓触发</w:t>
      </w:r>
      <w:r>
        <w:t xml:space="preserve">：反弹不能收复16.05元，或光伏方向未形成可验证的板块与资金共振时，优先分批去弱。</w:t>
      </w:r>
    </w:p>
    <w:p>
      <w:pPr>
        <w:numPr>
          <w:ilvl w:val="0"/>
          <w:numId w:val="101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条件加仓</w:t>
      </w:r>
      <w:r>
        <w:t xml:space="preserve">：只有收复16.05元并稳定、光伏设备结构化资金转为净流入、个股多源报价恢复一致三项同时满足，才可小仓跟踪。</w:t>
      </w:r>
    </w:p>
    <w:p>
      <w:pPr>
        <w:numPr>
          <w:ilvl w:val="0"/>
          <w:numId w:val="101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失效与风险</w:t>
      </w:r>
      <w:r>
        <w:t xml:space="preserve">：光伏产业链盈利继续承压、成长行情只集中于AI/医药、正式公告出现新增风险；深套不是加仓理由。</w:t>
      </w:r>
    </w:p>
    <w:p>
      <w:pPr>
        <w:pStyle w:val="Heading3"/>
      </w:pPr>
      <w:bookmarkStart w:id="33" w:name="风语筑603466.sh700股成本13.2159元"/>
      <w:r>
        <w:t xml:space="preserve">📈 风语筑（603466.SH）｜700股｜成本13.2159元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收盘盈亏</w:t>
      </w:r>
      <w:r>
        <w:t xml:space="preserve">：11.13元，相对成本亏损15.78%，按700股静态计算浮亏1,460.13元。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</w:t>
      </w:r>
      <w:r>
        <w:t xml:space="preserve">：持有观察、冲高不追。今日华泰单源显示涨9.98%并触及涨停价，短线由弱转强，但仍低于成本且缺少多源校验。</w:t>
      </w:r>
    </w:p>
    <w:p>
      <w:pPr>
        <w:numPr>
          <w:ilvl w:val="0"/>
          <w:numId w:val="101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减仓触发</w:t>
      </w:r>
      <w:r>
        <w:t xml:space="preserve">：竞价或开盘明显低于预期、涨停打开后无法回封，或跌回10.12元下方时，分批锁定反弹成果。</w:t>
      </w:r>
    </w:p>
    <w:p>
      <w:pPr>
        <w:numPr>
          <w:ilvl w:val="0"/>
          <w:numId w:val="101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条件加仓</w:t>
      </w:r>
      <w:r>
        <w:t xml:space="preserve">：仅在分歧回踩有承接、AI应用板块获得结构化资金与成交确认、个股重新转强时小仓考虑；封板一致性阶段不加仓。</w:t>
      </w:r>
    </w:p>
    <w:p>
      <w:pPr>
        <w:numPr>
          <w:ilvl w:val="0"/>
          <w:numId w:val="101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失效与风险</w:t>
      </w:r>
      <w:r>
        <w:t xml:space="preserve">：一日游、次日大幅低开、题材轮动与商业化兑现不足；禁止因接近成本价而改变纪律。</w:t>
      </w:r>
    </w:p>
    <w:p>
      <w:pPr>
        <w:pStyle w:val="Heading3"/>
      </w:pPr>
      <w:bookmarkStart w:id="34" w:name="工商银行601398.sh1900股成本7.0601元"/>
      <w:r>
        <w:t xml:space="preserve">📉 工商银行（601398.SH）｜1,900股｜成本7.0601元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收盘盈亏</w:t>
      </w:r>
      <w:r>
        <w:t xml:space="preserve">：7.66元，相对成本盈利8.50%，按1,900股静态计算浮盈1,139.81元。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</w:t>
      </w:r>
      <w:r>
        <w:t xml:space="preserve">：保留底仓、反抽无承接可分批锁定收益。它仍有组合防守价值，但今日跌3.77%说明红利风格承压。</w:t>
      </w:r>
    </w:p>
    <w:p>
      <w:pPr>
        <w:numPr>
          <w:ilvl w:val="0"/>
          <w:numId w:val="101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减仓触发</w:t>
      </w:r>
      <w:r>
        <w:t xml:space="preserve">：无法收复7.96元且银行方向继续弱于上证指数，或盈利持续回撤时，优先保护已有收益。</w:t>
      </w:r>
    </w:p>
    <w:p>
      <w:pPr>
        <w:numPr>
          <w:ilvl w:val="0"/>
          <w:numId w:val="101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条件加仓</w:t>
      </w:r>
      <w:r>
        <w:t xml:space="preserve">：银行板块结构化资金恢复净流入、个股重新站稳7.96元并形成承接后才考虑；下跌过程中不追补。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失效与风险</w:t>
      </w:r>
      <w:r>
        <w:t xml:space="preserve">：净息差、风格切换、分红除息与银行仓位集中风险。</w:t>
      </w:r>
    </w:p>
    <w:p>
      <w:pPr>
        <w:pStyle w:val="Heading3"/>
      </w:pPr>
      <w:bookmarkStart w:id="35" w:name="农业银行601288.sh5300股成本6.4244元"/>
      <w:r>
        <w:t xml:space="preserve">⚠️ 农业银行（601288.SH）｜5,300股｜成本6.4244元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收盘盈亏</w:t>
      </w:r>
      <w:r>
        <w:t xml:space="preserve">：最新价缺失，当前盈亏幅度与金额均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</w:t>
      </w:r>
      <w:r>
        <w:t xml:space="preserve">：等待可信报价后再决策；不得用工商银行表现直接替代农业银行行情。</w:t>
      </w:r>
    </w:p>
    <w:p>
      <w:pPr>
        <w:numPr>
          <w:ilvl w:val="0"/>
          <w:numId w:val="1013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减仓触发</w:t>
      </w:r>
      <w:r>
        <w:t xml:space="preserve">：恢复报价后若个股跌破前一交易日低点且银行板块同步放量走弱，或组合银行仓位过度集中，则分批降仓。</w:t>
      </w:r>
    </w:p>
    <w:p>
      <w:pPr>
        <w:numPr>
          <w:ilvl w:val="0"/>
          <w:numId w:val="101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条件加仓</w:t>
      </w:r>
      <w:r>
        <w:t xml:space="preserve">：必须先恢复可信价格，并同时满足银行板块企稳、个股趋势转强与资金回流；数据缺失时不加仓。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失效与风险</w:t>
      </w:r>
      <w:r>
        <w:t xml:space="preserve">：行情、趋势与公告均缺失，另有净息差、资产质量和高股息交易拥挤风险。</w:t>
      </w:r>
    </w:p>
    <w:p>
      <w:pPr>
        <w:pStyle w:val="Heading3"/>
      </w:pPr>
      <w:bookmarkStart w:id="36" w:name="持仓优先级"/>
      <w:r>
        <w:t xml:space="preserve">🎯 持仓优先级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最该减仓观察</w:t>
      </w:r>
      <w:r>
        <w:t xml:space="preserve">：弘元绿能，市场普涨时仍收跌1.43%，相对成本亏损40.68%，且与当日强势线索缺少直接共振。</w:t>
      </w:r>
    </w:p>
    <w:p>
      <w:pPr>
        <w:numPr>
          <w:ilvl w:val="0"/>
          <w:numId w:val="101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最稳健持有</w:t>
      </w:r>
      <w:r>
        <w:t xml:space="preserve">：工商银行，仍有8.50%静态浮盈，但需对红利风格走弱设置锁盈条件。</w:t>
      </w:r>
    </w:p>
    <w:p>
      <w:pPr>
        <w:numPr>
          <w:ilvl w:val="0"/>
          <w:numId w:val="101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满足条件才可加仓</w:t>
      </w:r>
      <w:r>
        <w:t xml:space="preserve">：风语筑，必须等待涨停分歧后的承接和板块资金确认；农业银行因行情未核验不得加仓。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市场情绪综合判断"/>
      <w:r>
        <w:t xml:space="preserve">🎭 市场情绪综合判断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赚钱效应</w:t>
      </w:r>
      <w:r>
        <w:t xml:space="preserve">：3,642家上涨、1,747家下跌，涨跌家数比明显偏多；140家涨停、1家跌停，短线情绪由回暖进入偏热区间。</w:t>
      </w:r>
    </w:p>
    <w:p>
      <w:pPr>
        <w:numPr>
          <w:ilvl w:val="0"/>
          <w:numId w:val="1015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风险偏好</w:t>
      </w:r>
      <w:r>
        <w:t xml:space="preserve">：创业板指涨5.6445%、科创50涨4.0871%，显著强于上证指数涨0.3313%，成长风格占优。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分歧程度</w:t>
      </w:r>
      <w:r>
        <w:t xml:space="preserve">：午后指数继续增强，但上涨家数较午间减少118家，说明普涨内部已开始分化，强势股集中度可能提高。</w:t>
      </w:r>
    </w:p>
    <w:p>
      <w:pPr>
        <w:numPr>
          <w:ilvl w:val="0"/>
          <w:numId w:val="1015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情绪周期</w:t>
      </w:r>
      <w:r>
        <w:t xml:space="preserve">：判断为</w:t>
      </w:r>
      <w:r>
        <w:rPr>
          <w:b/>
        </w:rPr>
        <w:t xml:space="preserve">回暖向偏热过渡</w:t>
      </w:r>
      <w:r>
        <w:t xml:space="preserve">，不是全面过热确认。缺少涨停明细、炸板率、板块资金与成交结构，不能把140家涨停直接等同于持续主升。</w:t>
      </w:r>
    </w:p>
    <w:p>
      <w:pPr>
        <w:numPr>
          <w:ilvl w:val="0"/>
          <w:numId w:val="1015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模型参考</w:t>
      </w:r>
      <w:r>
        <w:t xml:space="preserve">：</w:t>
      </w:r>
      <w:r>
        <w:rPr>
          <w:rStyle w:val="VerbatimChar"/>
        </w:rPr>
        <w:t xml:space="preserve">derived.position_model</w:t>
      </w:r>
      <w:r>
        <w:t xml:space="preserve"> </w:t>
      </w:r>
      <w:r>
        <w:t xml:space="preserve">给出激进80%、均衡65%、保守50%、最大80%，置信度normal；鉴于关键源覆盖仅3/7，执行时不应突破模型上限。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明日投资方向排序"/>
      <w:r>
        <w:t xml:space="preserve">🎯 明日投资方向排序</w:t>
      </w:r>
      <w:bookmarkEnd w:id="38"/>
    </w:p>
    <w:p>
      <w:pPr>
        <w:pStyle w:val="Heading3"/>
      </w:pPr>
      <w:bookmarkStart w:id="39" w:name="方向一ai应用数字内容软件优先级高观察"/>
      <w:r>
        <w:t xml:space="preserve">🚀 方向一：AI应用—数字内容/软件（优先级：高观察）</w:t>
      </w:r>
      <w:bookmarkEnd w:id="39"/>
    </w:p>
    <w:p>
      <w:pPr>
        <w:numPr>
          <w:ilvl w:val="0"/>
          <w:numId w:val="1016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：①创业板指涨5.6445%、深证成指涨3.2526%，成长风格三源确认；②全市场3,642家上涨、140家涨停，风险偏好偏强；③风语筑华泰单源11.13元、涨9.98%并触及涨停价。板块涨幅与主力净流入仍未核验，因此定性为</w:t>
      </w:r>
      <w:r>
        <w:t xml:space="preserve">“</w:t>
      </w:r>
      <w:r>
        <w:t xml:space="preserve">高观察</w:t>
      </w:r>
      <w:r>
        <w:t xml:space="preserve">”</w:t>
      </w:r>
      <w:r>
        <w:t xml:space="preserve">而非已交叉验证主线。</w:t>
      </w:r>
    </w:p>
    <w:p>
      <w:pPr>
        <w:numPr>
          <w:ilvl w:val="0"/>
          <w:numId w:val="1016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：风语筑（自选股中可确认的强共振样本）；行云科技（华泰筛选33.64元、涨20.01%、净流入5.67亿元）；深信服（122.50元、涨6.24%、净流入1.28亿元）。后两者均为华泰单源候选。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：激进仓不超过80%，只做分歧回踩与强承接；稳健仓不超过65%，等待板块结构化资金恢复；保守仓不超过50%，不参与一致性加速。</w:t>
      </w:r>
    </w:p>
    <w:p>
      <w:pPr>
        <w:numPr>
          <w:ilvl w:val="0"/>
          <w:numId w:val="101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：创业板守住3,400点，AI应用板块出现可验证的资金净流入，风语筑打开涨停后能快速回封或回踩不破关键承接。</w:t>
      </w:r>
    </w:p>
    <w:p>
      <w:pPr>
        <w:numPr>
          <w:ilvl w:val="0"/>
          <w:numId w:val="101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：风语筑跌回10.12元下方、创业板跌破3,400点并持续，或恢复后的资金榜显示AI应用显著净流出。</w:t>
      </w:r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：涨停次日兑现、单源个股数据误差、题材商业化不及预期与中报波动。</w:t>
      </w:r>
    </w:p>
    <w:p>
      <w:pPr>
        <w:pStyle w:val="Heading3"/>
      </w:pPr>
      <w:bookmarkStart w:id="40" w:name="方向二cro创新药产业链优先级中高"/>
      <w:r>
        <w:t xml:space="preserve">🚀 方向二：CRO—创新药产业链（优先级：中高）</w:t>
      </w:r>
      <w:bookmarkEnd w:id="40"/>
    </w:p>
    <w:p>
      <w:pPr>
        <w:numPr>
          <w:ilvl w:val="0"/>
          <w:numId w:val="1017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：①华泰结构化筛选显示药明康德141.35元、涨10.00%、净流入20.59亿元；②普洛药业22.12元、涨10.00%、净流入7,951.78万元；③华泰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文本称CRO/创新药走强。三项均来自华泰体系，缺少本地板块与个股多源校验，故只能单源观察。</w:t>
      </w:r>
    </w:p>
    <w:p>
      <w:pPr>
        <w:numPr>
          <w:ilvl w:val="0"/>
          <w:numId w:val="101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：药明康德（华泰单源净流入居筛选首位）、普洛药业（同一筛选中的涨停样本）、凯莱英（仅华泰文本线索，行情未核验）。</w:t>
      </w:r>
    </w:p>
    <w:p>
      <w:pPr>
        <w:numPr>
          <w:ilvl w:val="0"/>
          <w:numId w:val="101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：激进仓等龙头分歧回踩，不追一字或大幅高开；稳健仓等待板块成交与资金榜恢复；保守仓只跟踪中报业绩和订单兑现。</w:t>
      </w:r>
    </w:p>
    <w:p>
      <w:pPr>
        <w:numPr>
          <w:ilvl w:val="0"/>
          <w:numId w:val="101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：药明康德保持强承接，CRO板块资金净流入获独立来源确认，低位品种形成扩散而非单股行情。</w:t>
      </w:r>
    </w:p>
    <w:p>
      <w:pPr>
        <w:numPr>
          <w:ilvl w:val="0"/>
          <w:numId w:val="101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：龙头开板后持续回落、板块净流入转净流出，或业绩催化被市场兑现完毕。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：业绩预期差、海外监管与订单波动、单日大涨后的高位兑现。</w:t>
      </w:r>
    </w:p>
    <w:p>
      <w:pPr>
        <w:pStyle w:val="Heading3"/>
      </w:pPr>
      <w:bookmarkStart w:id="41" w:name="方向三ai算力硬件cpopcb优先级观察"/>
      <w:r>
        <w:t xml:space="preserve">🔎 方向三：AI算力硬件—CPO/PCB（优先级：观察）</w:t>
      </w:r>
      <w:bookmarkEnd w:id="41"/>
    </w:p>
    <w:p>
      <w:pPr>
        <w:numPr>
          <w:ilvl w:val="0"/>
          <w:numId w:val="1018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：①科创50涨4.0871%、创业板指涨5.6445%，硬科技风险偏好修复；②全市场成交额22,284.43亿元，交易活跃但同比口径未核验；③华泰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提到CPO、算力租赁与PCB扩散。由于板块榜、资金榜和核心个股校验均失败，证据不足以支持追涨。</w:t>
      </w:r>
    </w:p>
    <w:p>
      <w:pPr>
        <w:numPr>
          <w:ilvl w:val="0"/>
          <w:numId w:val="1018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：中际旭创、新易盛、东山精密、深南电路均只来自华泰文本线索；具体涨幅、成交额、涨停状态和资金数据未获本地多源确认。</w:t>
      </w:r>
    </w:p>
    <w:p>
      <w:pPr>
        <w:numPr>
          <w:ilvl w:val="0"/>
          <w:numId w:val="101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：激进仓也只观察回踩承接；稳健仓等待板块资金、成交与核心个股三项共振；保守仓等待趋势确认，不做次日高开接力。</w:t>
      </w:r>
    </w:p>
    <w:p>
      <w:pPr>
        <w:numPr>
          <w:ilvl w:val="0"/>
          <w:numId w:val="101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：板块结构化资金恢复并持续净流入，核心股强于创业板且不出现集中炸板，成交保持活跃。</w:t>
      </w:r>
    </w:p>
    <w:p>
      <w:pPr>
        <w:numPr>
          <w:ilvl w:val="0"/>
          <w:numId w:val="101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：高开低走、核心股跌破开盘价、恢复后的资金榜显示显著净流出，或成长指数跌破关键观察位。</w:t>
      </w:r>
    </w:p>
    <w:p>
      <w:pPr>
        <w:numPr>
          <w:ilvl w:val="0"/>
          <w:numId w:val="101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：高拥挤度、估值消化、海外科技资本开支预期变化与一日游反弹。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明日展望与仓位策略"/>
      <w:r>
        <w:t xml:space="preserve">🎯 明日展望与仓位策略</w:t>
      </w:r>
      <w:bookmarkEnd w:id="42"/>
    </w:p>
    <w:p>
      <w:pPr>
        <w:numPr>
          <w:ilvl w:val="0"/>
          <w:numId w:val="1019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基准判断</w:t>
      </w:r>
      <w:r>
        <w:t xml:space="preserve">：偏强震荡、成长内部先分化后选择方向。今日普涨和涨停扩散提供情绪惯性，但创业板单日涨5.6445%后不宜按直线加速预期追高。</w:t>
      </w:r>
    </w:p>
    <w:p>
      <w:pPr>
        <w:numPr>
          <w:ilvl w:val="0"/>
          <w:numId w:val="1019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关键指数</w:t>
      </w:r>
      <w:r>
        <w:t xml:space="preserve">：上证先观察3,800点能否继续站稳；创业板观察3,400点防守与3,500点附近承接。前者来自今日盘中低点附近和整数关口，后者为午盘策略锚点及收盘临近整数关口，不作为保证性支撑阻力。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激进仓</w:t>
      </w:r>
      <w:r>
        <w:t xml:space="preserve">：上限80%，以分歧回踩、龙头承接和板块资金恢复为前提；若开盘一致性过强，先兑现后观察。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稳健仓</w:t>
      </w:r>
      <w:r>
        <w:t xml:space="preserve">：上限65%，优先有业绩或结构化净流入线索的AI应用、CRO候选，待本地资金榜恢复后再加仓。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保守仓</w:t>
      </w:r>
      <w:r>
        <w:t xml:space="preserve">：上限50%，保留现金与防守底仓；不因140家涨停直接追高，不参与未获多源确认的连板股。</w:t>
      </w:r>
    </w:p>
    <w:p>
      <w:pPr>
        <w:numPr>
          <w:ilvl w:val="0"/>
          <w:numId w:val="101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统一降仓条件</w:t>
      </w:r>
      <w:r>
        <w:t xml:space="preserve">：上涨家数快速跌破下跌家数、创业板跌破3,400点并持续、强势股集中炸板，或结构化资金恢复后显示主线转为大幅净流出。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核心风险</w:t>
      </w:r>
      <w:r>
        <w:t xml:space="preserve">：成长获利兑现、板块轮动过快、华泰单源热点与本地数据缺口、成交额比较口径未核验、海外与中报事件扰动。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3" w:name="数据质量与结论边界"/>
      <w:r>
        <w:t xml:space="preserve">⚠️ 数据质量与结论边界</w:t>
      </w:r>
      <w:bookmarkEnd w:id="43"/>
    </w:p>
    <w:p>
      <w:pPr>
        <w:numPr>
          <w:ilvl w:val="0"/>
          <w:numId w:val="1020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关键源覆盖率</w:t>
      </w:r>
      <w:r>
        <w:t xml:space="preserve">：3/7，即42.86%；可用关键源为指数、同花顺市场宽度和同花顺成交额。</w:t>
      </w:r>
    </w:p>
    <w:p>
      <w:pPr>
        <w:numPr>
          <w:ilvl w:val="0"/>
          <w:numId w:val="1020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单源事实</w:t>
      </w:r>
      <w:r>
        <w:t xml:space="preserve">：市场宽度和成交额为同花顺单源；华泰自选报价和净流入筛选为华泰单源。指数点位与涨跌幅由新浪、东方财富、腾讯交叉验证一致。</w:t>
      </w:r>
    </w:p>
    <w:p>
      <w:pPr>
        <w:numPr>
          <w:ilvl w:val="0"/>
          <w:numId w:val="102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未核验项</w:t>
      </w:r>
      <w:r>
        <w:t xml:space="preserve">：正式资金流入TOP10、资金流出TOP10、板块涨跌榜、板块成交额、活跃股、涨跌停明细、核心个股多源校验、沪深300ETF净申购和农业银行收盘价。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冲突处理</w:t>
      </w:r>
      <w:r>
        <w:t xml:space="preserve">：华泰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关于</w:t>
      </w:r>
      <w:r>
        <w:t xml:space="preserve">“</w:t>
      </w:r>
      <w:r>
        <w:t xml:space="preserve">三大指数收跌</w:t>
      </w:r>
      <w:r>
        <w:t xml:space="preserve">”</w:t>
      </w:r>
      <w:r>
        <w:t xml:space="preserve">等表述与三源结构化指数直接冲突，已明确舍弃；未使用冲突文本覆盖结构化事实。</w:t>
      </w:r>
    </w:p>
    <w:p>
      <w:pPr>
        <w:numPr>
          <w:ilvl w:val="0"/>
          <w:numId w:val="1020"/>
        </w:numPr>
        <w:pStyle w:val="Compact"/>
      </w:pPr>
      <w:r>
        <w:t xml:space="preserve">💡 本报告只基于采集 JSON 和可确认的午间对比数据，不构成投资建议；所有单源候选均需在明日盘面重新验证。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生成时间：2026-08-04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2026-08-04T07:24:19Z</dcterms:created>
  <dcterms:modified xsi:type="dcterms:W3CDTF">2026-08-04T07:24:19Z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