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7-31周五"/>
      <w:r>
        <w:t xml:space="preserve">🌅 盘前简报 | 2026-07-31（周五）</w:t>
      </w:r>
      <w:bookmarkEnd w:id="20"/>
    </w:p>
    <w:p>
      <w:pPr>
        <w:pStyle w:val="Heading2"/>
      </w:pPr>
      <w:bookmarkStart w:id="21" w:name="数据质量与盘前结论"/>
      <w:r>
        <w:t xml:space="preserve">📊 数据质量与盘前结论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昨日市场放量下挫、风格偏弱防御。</w:t>
      </w:r>
      <w:r>
        <w:t xml:space="preserve"> </w:t>
      </w:r>
      <w:r>
        <w:t xml:space="preserve">上证指数收于3804.6926点，跌0.6210%；深证成指跌2.7283%，创业板指跌3.9683%，科创50跌5.3804%，沪深300跌1.0987%。指数经新浪、东方财富、腾讯三源核验一致。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同花顺单源显示上涨1768家、下跌3635家、平盘125家，涨停56家、跌停76家；结构完整可用，但缺少第二来源交叉验证。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同花顺单源确认昨日全市场成交额23584.20亿元；其列示的前一日金额为23117.16亿元。由于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，不计算或使用成交额变化百分比。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关键源覆盖率仅3/7：资金流、板块表现、活跃个股、涨跌停样本和个股多源校验缺失；公告源亦失败。涉及资金TOP10、板块排名、连板扩散和公告的结论统一降级为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🔴 昨日跌停76家高于涨停56家，且成长指数跌幅显著大于上证与沪深300，说明高波动科技方向仍处于风险释放阶段。</w:t>
      </w:r>
    </w:p>
    <w:p>
      <w:pPr>
        <w:numPr>
          <w:ilvl w:val="0"/>
          <w:numId w:val="1001"/>
        </w:numPr>
        <w:pStyle w:val="Compact"/>
      </w:pPr>
      <w:r>
        <w:t xml:space="preserve">📈 A50期指涨1.20%，政治局会议明确增量政策、扩大内需、</w:t>
      </w:r>
      <w:r>
        <w:t xml:space="preserve">“</w:t>
      </w:r>
      <w:r>
        <w:t xml:space="preserve">人工智能+</w:t>
      </w:r>
      <w:r>
        <w:t xml:space="preserve">”</w:t>
      </w:r>
      <w:r>
        <w:t xml:space="preserve">和</w:t>
      </w:r>
      <w:r>
        <w:t xml:space="preserve">“</w:t>
      </w:r>
      <w:r>
        <w:t xml:space="preserve">六张网</w:t>
      </w:r>
      <w:r>
        <w:t xml:space="preserve">”</w:t>
      </w:r>
      <w:r>
        <w:t xml:space="preserve">，开盘具备情绪修复条件；但修复是否有效必须由量能、涨跌家数和板块资金确认。</w:t>
      </w:r>
    </w:p>
    <w:p>
      <w:pPr>
        <w:numPr>
          <w:ilvl w:val="0"/>
          <w:numId w:val="1001"/>
        </w:numPr>
        <w:pStyle w:val="Compact"/>
      </w:pPr>
      <w:r>
        <w:t xml:space="preserve">💡 派生仓位模型上限：激进40%、均衡25%、保守10%。今日不因政策利好或A50上涨直接追高，优先处理持仓风险，再等待主线共振。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隔夜全球市场"/>
      <w:r>
        <w:t xml:space="preserve">🌐 隔夜全球市场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富时中国A50期指</w:t>
      </w:r>
      <w:r>
        <w:t xml:space="preserve">：14848.76点，涨1.20%，对A股竞价情绪形成正向映射。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恒生指数</w:t>
      </w:r>
      <w:r>
        <w:t xml:space="preserve">：7月30日收于25807.92点，涨0.20%；这是昨日收盘数据，不写成7月31日港股早盘表现。</w:t>
      </w:r>
    </w:p>
    <w:p>
      <w:pPr>
        <w:numPr>
          <w:ilvl w:val="0"/>
          <w:numId w:val="1002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美元离岸人民币</w:t>
      </w:r>
      <w:r>
        <w:t xml:space="preserve">：6.7476，变动-0.02%，汇率短线平稳。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COMEX黄金</w:t>
      </w:r>
      <w:r>
        <w:t xml:space="preserve">：4154.864，跌0.14%；避险资产未与中东紧张局势同步走强。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WTI原油</w:t>
      </w:r>
      <w:r>
        <w:t xml:space="preserve">：84.142，涨0.66%；央视报道布伦特原油已收于每桶90美元上方，能源与通胀风险升温。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伦铜</w:t>
      </w:r>
      <w:r>
        <w:t xml:space="preserve">：13854.88，涨0.38%，对有色和全球工业需求预期提供温和支撑。</w:t>
      </w:r>
    </w:p>
    <w:p>
      <w:pPr>
        <w:numPr>
          <w:ilvl w:val="0"/>
          <w:numId w:val="1002"/>
        </w:numPr>
        <w:pStyle w:val="Compact"/>
      </w:pPr>
      <w:r>
        <w:t xml:space="preserve">⚠️ 采集JSON未提供美股三大指数、重点中概股和欧洲主要指数的结构化行情，具体点位与涨跌幅均为</w:t>
      </w:r>
      <w:r>
        <w:rPr>
          <w:b/>
        </w:rPr>
        <w:t xml:space="preserve">未核验</w:t>
      </w:r>
      <w:r>
        <w:t xml:space="preserve">，不补写数值。</w:t>
      </w:r>
    </w:p>
    <w:p>
      <w:pPr>
        <w:numPr>
          <w:ilvl w:val="0"/>
          <w:numId w:val="1002"/>
        </w:numPr>
        <w:pStyle w:val="Compact"/>
      </w:pPr>
      <w:r>
        <w:t xml:space="preserve">🔴 美联储年内第5次将联邦基金利率目标区间维持在3.5%—3.75%，并指出通胀仍高于2%目标；高估值成长股仍需警惕利率压制。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7月30日《新闻联播》共11条目录、11条正文全部采集成功；节目日期、目录数与详情数一致，来源为央视网，采集时间为2026-07-31 08:30:05（北京时间）。</w:t>
      </w:r>
    </w:p>
    <w:p>
      <w:pPr>
        <w:numPr>
          <w:ilvl w:val="0"/>
          <w:numId w:val="1003"/>
        </w:numPr>
        <w:pStyle w:val="Compact"/>
      </w:pPr>
      <w:r>
        <w:t xml:space="preserve">🚀 最强政策信号来自政治局会议：更加积极的财政政策、适度宽松的货币政策、及时谋划增量政策、加大逆周期调节，政策力度属于</w:t>
      </w:r>
      <w:r>
        <w:rPr>
          <w:b/>
        </w:rPr>
        <w:t xml:space="preserve">实质部署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🤖 产业主线明确指向</w:t>
      </w:r>
      <w:r>
        <w:t xml:space="preserve">“</w:t>
      </w:r>
      <w:r>
        <w:t xml:space="preserve">人工智能+</w:t>
      </w:r>
      <w:r>
        <w:t xml:space="preserve">”</w:t>
      </w:r>
      <w:r>
        <w:t xml:space="preserve">、智能经济、前沿技术与未来产业；AI光模块、集成电路、激光雷达、3D打印和机器人出口数据形成产业验证。</w:t>
      </w:r>
    </w:p>
    <w:p>
      <w:pPr>
        <w:numPr>
          <w:ilvl w:val="0"/>
          <w:numId w:val="1003"/>
        </w:numPr>
        <w:pStyle w:val="Compact"/>
      </w:pPr>
      <w:r>
        <w:t xml:space="preserve">🏗️</w:t>
      </w:r>
      <w:r>
        <w:t xml:space="preserve"> </w:t>
      </w:r>
      <w:r>
        <w:t xml:space="preserve">“</w:t>
      </w:r>
      <w:r>
        <w:t xml:space="preserve">六张网</w:t>
      </w:r>
      <w:r>
        <w:t xml:space="preserve">”</w:t>
      </w:r>
      <w:r>
        <w:t xml:space="preserve">、</w:t>
      </w:r>
      <w:r>
        <w:t xml:space="preserve">“</w:t>
      </w:r>
      <w:r>
        <w:t xml:space="preserve">两重</w:t>
      </w:r>
      <w:r>
        <w:t xml:space="preserve">”</w:t>
      </w:r>
      <w:r>
        <w:t xml:space="preserve">、</w:t>
      </w:r>
      <w:r>
        <w:t xml:space="preserve">“</w:t>
      </w:r>
      <w:r>
        <w:t xml:space="preserve">两新</w:t>
      </w:r>
      <w:r>
        <w:t xml:space="preserve">”</w:t>
      </w:r>
      <w:r>
        <w:t xml:space="preserve">、物流枢纽与多式联运形成基建链政策组合，但本轮板块资金与成交排名缺失，今日只能按政策线索观察。</w:t>
      </w:r>
    </w:p>
    <w:p>
      <w:pPr>
        <w:numPr>
          <w:ilvl w:val="0"/>
          <w:numId w:val="1003"/>
        </w:numPr>
        <w:pStyle w:val="Compact"/>
      </w:pPr>
      <w:r>
        <w:t xml:space="preserve">🏦 稳地产、化债、地方中小金融机构改革和资本市场投融资综合改革强化防风险预期；银行具备防御价值，但不能据此忽略个股价格和板块资金。</w:t>
      </w:r>
    </w:p>
    <w:p>
      <w:pPr>
        <w:numPr>
          <w:ilvl w:val="0"/>
          <w:numId w:val="1003"/>
        </w:numPr>
        <w:pStyle w:val="Compact"/>
      </w:pPr>
      <w:r>
        <w:t xml:space="preserve">⚠️ 美伊冲突、伊拉克方向军事行动、日本熊本地震造成半导体工厂停产，油价、供应链和全球风险偏好面临同时扰动。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Xd03bf6d16e070c4a81d4bb3f8fb9f5fe1909c04"/>
      <w:r>
        <w:t xml:space="preserve">中共中央政治局召开会议 决定召开二十届五中全会 分析研究当前经济形势和经济工作 中共中央总书记习近平主持会议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A股影响：利好</w:t>
      </w:r>
    </w:p>
    <w:p>
      <w:pPr>
        <w:numPr>
          <w:ilvl w:val="0"/>
          <w:numId w:val="1004"/>
        </w:numPr>
        <w:pStyle w:val="Compact"/>
      </w:pPr>
      <w:r>
        <w:t xml:space="preserve">相关板块：人工智能、未来产业、六张网基建、消费、服务贸易、农业、地产、银行、券商、环保</w:t>
      </w:r>
    </w:p>
    <w:p>
      <w:pPr>
        <w:numPr>
          <w:ilvl w:val="0"/>
          <w:numId w:val="1004"/>
        </w:numPr>
        <w:pStyle w:val="Compact"/>
      </w:pPr>
      <w:r>
        <w:t xml:space="preserve">核心解读：会议明确更加积极财政、适度宽松货币、增量政策与逆周期调节，并部署</w:t>
      </w:r>
      <w:r>
        <w:t xml:space="preserve">“</w:t>
      </w:r>
      <w:r>
        <w:t xml:space="preserve">两重</w:t>
      </w:r>
      <w:r>
        <w:t xml:space="preserve">”</w:t>
      </w:r>
      <w:r>
        <w:t xml:space="preserve">“</w:t>
      </w:r>
      <w:r>
        <w:t xml:space="preserve">两新</w:t>
      </w:r>
      <w:r>
        <w:t xml:space="preserve">”</w:t>
      </w:r>
      <w:r>
        <w:t xml:space="preserve">“</w:t>
      </w:r>
      <w:r>
        <w:t xml:space="preserve">人工智能+</w:t>
      </w:r>
      <w:r>
        <w:t xml:space="preserve">”</w:t>
      </w:r>
      <w:r>
        <w:t xml:space="preserve">、全国统一大市场、稳地产和资本市场改革，属于下半年经济工作的实质政策框架。</w:t>
      </w:r>
    </w:p>
    <w:p>
      <w:pPr>
        <w:numPr>
          <w:ilvl w:val="0"/>
          <w:numId w:val="1004"/>
        </w:numPr>
        <w:pStyle w:val="Compact"/>
      </w:pPr>
      <w:r>
        <w:t xml:space="preserve">验证条件：A50利好能否转化为指数高开后承接，AI、基建、消费至少两个方向出现放量和资金净流入；若高开低走、跌停扩散，则政策交易降温。</w:t>
      </w:r>
    </w:p>
    <w:p>
      <w:pPr>
        <w:pStyle w:val="Heading4"/>
      </w:pPr>
      <w:bookmarkStart w:id="27" w:name="X5d9907cb224607e053fe158cd680c1e485d2225"/>
      <w:r>
        <w:t xml:space="preserve">就当前经济形势和下半年经济工作 中共中央召开党外人士座谈会 习近平主持并发表重要讲话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相关板块：扩大内需、科技创新、高端制造、民营经济、对外开放</w:t>
      </w:r>
    </w:p>
    <w:p>
      <w:pPr>
        <w:numPr>
          <w:ilvl w:val="0"/>
          <w:numId w:val="1005"/>
        </w:numPr>
        <w:pStyle w:val="Compact"/>
      </w:pPr>
      <w:r>
        <w:t xml:space="preserve">核心解读：再次强调挖掘内需、科技创新与产业创新融合、扩大有效投资和逆周期政策，强化政治局会议方向，但没有新增具体金额或项目清单。</w:t>
      </w:r>
    </w:p>
    <w:p>
      <w:pPr>
        <w:numPr>
          <w:ilvl w:val="0"/>
          <w:numId w:val="1005"/>
        </w:numPr>
        <w:pStyle w:val="Compact"/>
      </w:pPr>
      <w:r>
        <w:t xml:space="preserve">验证条件：消费、科技和基建形成板块级联动；若只有单只高开、量能不跟进，则按例行政策确认而非独立催化处理。</w:t>
      </w:r>
    </w:p>
    <w:p>
      <w:pPr>
        <w:pStyle w:val="Heading4"/>
      </w:pPr>
      <w:bookmarkStart w:id="28" w:name="X70127cb5dd4c6b54b46428cf366a6363cd80a02"/>
      <w:r>
        <w:t xml:space="preserve">新华社长篇通讯：向着建军一百年奋斗目标阔步前行——以习近平同志为核心的党中央引领人民军队书写强军兴军新篇章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相关板块：国防装备、军工信息化、无人系统</w:t>
      </w:r>
    </w:p>
    <w:p>
      <w:pPr>
        <w:numPr>
          <w:ilvl w:val="0"/>
          <w:numId w:val="1006"/>
        </w:numPr>
        <w:pStyle w:val="Compact"/>
      </w:pPr>
      <w:r>
        <w:t xml:space="preserve">核心解读：聚焦建军一百年目标和世界一流军队建设，强化军工长期逻辑；本条未给出新增采购、预算或订单，短线政策力度有限。</w:t>
      </w:r>
    </w:p>
    <w:p>
      <w:pPr>
        <w:numPr>
          <w:ilvl w:val="0"/>
          <w:numId w:val="1006"/>
        </w:numPr>
        <w:pStyle w:val="Compact"/>
      </w:pPr>
      <w:r>
        <w:t xml:space="preserve">验证条件：军工板块出现成交放大、多股联动及资金净流入；若仅情绪高开、无订单催化，则不追涨。</w:t>
      </w:r>
    </w:p>
    <w:p>
      <w:pPr>
        <w:pStyle w:val="Heading4"/>
      </w:pPr>
      <w:bookmarkStart w:id="29" w:name="思想解读类融媒体片制胜今晚播出"/>
      <w:r>
        <w:t xml:space="preserve">思想解读类融媒体片《制胜》今晚播出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相关板块：军工传媒、国防教育；无直接业绩映射</w:t>
      </w:r>
    </w:p>
    <w:p>
      <w:pPr>
        <w:numPr>
          <w:ilvl w:val="0"/>
          <w:numId w:val="1007"/>
        </w:numPr>
        <w:pStyle w:val="Compact"/>
      </w:pPr>
      <w:r>
        <w:t xml:space="preserve">核心解读：内容聚焦备战打仗与强军实践，主要是主题传播，不等同于装备采购或上市公司订单。</w:t>
      </w:r>
    </w:p>
    <w:p>
      <w:pPr>
        <w:numPr>
          <w:ilvl w:val="0"/>
          <w:numId w:val="1007"/>
        </w:numPr>
        <w:pStyle w:val="Compact"/>
      </w:pPr>
      <w:r>
        <w:t xml:space="preserve">验证条件：需等待军工产业政策、订单或预算信息；缺少实质增量时不作为独立交易依据。</w:t>
      </w:r>
    </w:p>
    <w:p>
      <w:pPr>
        <w:pStyle w:val="Heading4"/>
      </w:pPr>
      <w:bookmarkStart w:id="30" w:name="中国智造加速出海-人工智能产品远销全球"/>
      <w:r>
        <w:t xml:space="preserve">中国智造加速出海 人工智能产品远销全球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相关板块：AI算力光模块、集成电路、激光雷达、3D打印、具身智能、工业机器人</w:t>
      </w:r>
    </w:p>
    <w:p>
      <w:pPr>
        <w:numPr>
          <w:ilvl w:val="0"/>
          <w:numId w:val="1008"/>
        </w:numPr>
        <w:pStyle w:val="Compact"/>
      </w:pPr>
      <w:r>
        <w:t xml:space="preserve">核心解读：上半年光通信设备激光收发模块出口增长22.3%、集成电路增长88.7%、激光测距雷达增长58.3%、3D打印机增长109.3%；智能仿生机器人出口超万台，搬运和焊接机器人出口增速均超过60%，属于明确产业数据催化。</w:t>
      </w:r>
    </w:p>
    <w:p>
      <w:pPr>
        <w:numPr>
          <w:ilvl w:val="0"/>
          <w:numId w:val="1008"/>
        </w:numPr>
        <w:pStyle w:val="Compact"/>
      </w:pPr>
      <w:r>
        <w:t xml:space="preserve">验证条件：AI硬件或机器人方向出现资金净流入、成交放大和多股联动；若成长指数继续补跌或核心股高开低走，先观察不追高。</w:t>
      </w:r>
    </w:p>
    <w:p>
      <w:pPr>
        <w:pStyle w:val="Heading4"/>
      </w:pPr>
      <w:bookmarkStart w:id="31" w:name="我国物流总量稳步扩大-需求结构不断优化"/>
      <w:r>
        <w:t xml:space="preserve">我国物流总量稳步扩大 需求结构不断优化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相关板块：物流枢纽、多式联运、航空运输、水运、高端制造物流</w:t>
      </w:r>
    </w:p>
    <w:p>
      <w:pPr>
        <w:numPr>
          <w:ilvl w:val="0"/>
          <w:numId w:val="1009"/>
        </w:numPr>
        <w:pStyle w:val="Compact"/>
      </w:pPr>
      <w:r>
        <w:t xml:space="preserve">核心解读：上半年社会物流总额181.1万亿元、增长5.1%，高技术制造业物流总额增长13.3%；水运和航空运输业投资分别增长19.8%和11%，与</w:t>
      </w:r>
      <w:r>
        <w:t xml:space="preserve">“</w:t>
      </w:r>
      <w:r>
        <w:t xml:space="preserve">六张网</w:t>
      </w:r>
      <w:r>
        <w:t xml:space="preserve">”</w:t>
      </w:r>
      <w:r>
        <w:t xml:space="preserve">政策形成呼应。</w:t>
      </w:r>
    </w:p>
    <w:p>
      <w:pPr>
        <w:numPr>
          <w:ilvl w:val="0"/>
          <w:numId w:val="1009"/>
        </w:numPr>
        <w:pStyle w:val="Compact"/>
      </w:pPr>
      <w:r>
        <w:t xml:space="preserve">验证条件：物流、港口、航空基建板块出现资金和成交共振；若油价上涨挤压运输利润，应区分基建投资端与运营成本端。</w:t>
      </w:r>
    </w:p>
    <w:p>
      <w:pPr>
        <w:pStyle w:val="Heading4"/>
      </w:pPr>
      <w:bookmarkStart w:id="32" w:name="文化企业营收平稳增长-新业态发展动能强劲"/>
      <w:r>
        <w:t xml:space="preserve">文化企业营收平稳增长 新业态发展动能强劲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相关板块：数字出版、文化传媒、无人机、数字内容</w:t>
      </w:r>
    </w:p>
    <w:p>
      <w:pPr>
        <w:numPr>
          <w:ilvl w:val="0"/>
          <w:numId w:val="1010"/>
        </w:numPr>
        <w:pStyle w:val="Compact"/>
      </w:pPr>
      <w:r>
        <w:t xml:space="preserve">核心解读：上半年规模以上文化企业营收72026亿元、增长4.6%，文化服务业增长8.1%，文化新业态增长9.6%，支持数字文化的中期景气，但并不证明所有传媒个股同步受益。</w:t>
      </w:r>
    </w:p>
    <w:p>
      <w:pPr>
        <w:numPr>
          <w:ilvl w:val="0"/>
          <w:numId w:val="1010"/>
        </w:numPr>
        <w:pStyle w:val="Compact"/>
      </w:pPr>
      <w:r>
        <w:t xml:space="preserve">验证条件：传媒板块放量、资金转入，弱势个股需先转强；若板块上涨而风语筑继续下跌，则不以行业数据掩盖个股弱势。</w:t>
      </w:r>
    </w:p>
    <w:p>
      <w:pPr>
        <w:pStyle w:val="Heading4"/>
      </w:pPr>
      <w:bookmarkStart w:id="33" w:name="电影拉动消费链不断延伸-助力暑期文旅升温"/>
      <w:r>
        <w:t xml:space="preserve">“</w:t>
      </w:r>
      <w:r>
        <w:t xml:space="preserve">电影+</w:t>
      </w:r>
      <w:r>
        <w:t xml:space="preserve">”</w:t>
      </w:r>
      <w:r>
        <w:t xml:space="preserve">拉动消费链不断延伸 助力暑期文旅升温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相关板块：影视院线、文旅景区、酒店餐饮、非遗消费</w:t>
      </w:r>
    </w:p>
    <w:p>
      <w:pPr>
        <w:numPr>
          <w:ilvl w:val="0"/>
          <w:numId w:val="1011"/>
        </w:numPr>
        <w:pStyle w:val="Compact"/>
      </w:pPr>
      <w:r>
        <w:t xml:space="preserve">核心解读：暑期档票房已突破65亿元，电影全产业链产值已超过3400亿元，</w:t>
      </w:r>
      <w:r>
        <w:t xml:space="preserve">“</w:t>
      </w:r>
      <w:r>
        <w:t xml:space="preserve">电影+文旅</w:t>
      </w:r>
      <w:r>
        <w:t xml:space="preserve">”</w:t>
      </w:r>
      <w:r>
        <w:t xml:space="preserve">形成消费链扩展，属于服务消费的具体案例。</w:t>
      </w:r>
    </w:p>
    <w:p>
      <w:pPr>
        <w:numPr>
          <w:ilvl w:val="0"/>
          <w:numId w:val="1011"/>
        </w:numPr>
        <w:pStyle w:val="Compact"/>
      </w:pPr>
      <w:r>
        <w:t xml:space="preserve">验证条件：影视、景区和酒店板块出现持续成交与资金流入；若只因单部影片形成脉冲，谨防一日游。</w:t>
      </w:r>
    </w:p>
    <w:p>
      <w:pPr>
        <w:pStyle w:val="Heading4"/>
      </w:pPr>
      <w:bookmarkStart w:id="34" w:name="国内联播快讯"/>
      <w:r>
        <w:t xml:space="preserve">国内联播快讯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A股影响：偏利好</w:t>
      </w:r>
    </w:p>
    <w:p>
      <w:pPr>
        <w:numPr>
          <w:ilvl w:val="0"/>
          <w:numId w:val="1012"/>
        </w:numPr>
        <w:pStyle w:val="Compact"/>
      </w:pPr>
      <w:r>
        <w:t xml:space="preserve">相关板块：新经济、海洋工程、航运港口、网络平台治理、文化旅游</w:t>
      </w:r>
    </w:p>
    <w:p>
      <w:pPr>
        <w:numPr>
          <w:ilvl w:val="0"/>
          <w:numId w:val="1012"/>
        </w:numPr>
        <w:pStyle w:val="Compact"/>
      </w:pPr>
      <w:r>
        <w:t xml:space="preserve">核心解读：2025年</w:t>
      </w:r>
      <w:r>
        <w:t xml:space="preserve">“</w:t>
      </w:r>
      <w:r>
        <w:t xml:space="preserve">三新</w:t>
      </w:r>
      <w:r>
        <w:t xml:space="preserve">”</w:t>
      </w:r>
      <w:r>
        <w:t xml:space="preserve">经济增加值257869亿元、增长6.2%，占GDP 18.39%；深圳对APEC经济体进出口1.98万亿元、增长33%。临时用海审批优化利好规范用海项目，反网络暴力征求意见强化平台责任。</w:t>
      </w:r>
    </w:p>
    <w:p>
      <w:pPr>
        <w:numPr>
          <w:ilvl w:val="0"/>
          <w:numId w:val="1012"/>
        </w:numPr>
        <w:pStyle w:val="Compact"/>
      </w:pPr>
      <w:r>
        <w:t xml:space="preserve">验证条件：新经济、航运或海工出现政策与资金共振；互联网平台若受治理预期压制，应以正式法案条款和公司影响评估为准。</w:t>
      </w:r>
    </w:p>
    <w:p>
      <w:pPr>
        <w:pStyle w:val="Heading4"/>
      </w:pPr>
      <w:bookmarkStart w:id="35" w:name="美军结束短暂停火恢复对伊朗打击-约旦称拦截伊朗导弹"/>
      <w:r>
        <w:t xml:space="preserve">美军结束短暂停火恢复对伊朗打击 约旦称拦截伊朗导弹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A股影响：偏利空</w:t>
      </w:r>
    </w:p>
    <w:p>
      <w:pPr>
        <w:numPr>
          <w:ilvl w:val="0"/>
          <w:numId w:val="1013"/>
        </w:numPr>
        <w:pStyle w:val="Compact"/>
      </w:pPr>
      <w:r>
        <w:t xml:space="preserve">相关板块：油气、军工、黄金；航空、物流、化工下游承压</w:t>
      </w:r>
    </w:p>
    <w:p>
      <w:pPr>
        <w:numPr>
          <w:ilvl w:val="0"/>
          <w:numId w:val="1013"/>
        </w:numPr>
        <w:pStyle w:val="Compact"/>
      </w:pPr>
      <w:r>
        <w:t xml:space="preserve">核心解读：美军恢复大规模打击，约旦拦截5枚来自伊朗的导弹，布伦特原油收于每桶90美元上方；冲突已对能源价格和区域安全形成实质影响。</w:t>
      </w:r>
    </w:p>
    <w:p>
      <w:pPr>
        <w:numPr>
          <w:ilvl w:val="0"/>
          <w:numId w:val="1013"/>
        </w:numPr>
        <w:pStyle w:val="Compact"/>
      </w:pPr>
      <w:r>
        <w:t xml:space="preserve">验证条件：油价持续走强且油气板块放量可强化受益映射；若黄金不涨、原油冲高回落，则不追事件高开。航空和高耗能下游需观察成本传导。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相关板块：半导体供应链、油气、军工、出口链、高估值成长</w:t>
      </w:r>
    </w:p>
    <w:p>
      <w:pPr>
        <w:numPr>
          <w:ilvl w:val="0"/>
          <w:numId w:val="1014"/>
        </w:numPr>
        <w:pStyle w:val="Compact"/>
      </w:pPr>
      <w:r>
        <w:t xml:space="preserve">核心解读：日本熊本地震已造成34人死亡，多家半导体工厂停产；俄乌冲突继续升级。美联储维持3.5%—3.75%利率区间且强调通胀高位，海外利率与供应链风险并存。</w:t>
      </w:r>
    </w:p>
    <w:p>
      <w:pPr>
        <w:numPr>
          <w:ilvl w:val="0"/>
          <w:numId w:val="1014"/>
        </w:numPr>
        <w:pStyle w:val="Compact"/>
      </w:pPr>
      <w:r>
        <w:t xml:space="preserve">验证条件：确认停产企业、产能缺口和A股替代关系后再交易供应链逻辑；若美债利率上行且科技股承压，A股高估值成长修复可能失效。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重要公告"/>
      <w:r>
        <w:t xml:space="preserve">📋 今日重要公告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⚠️ 东方财富公告接口返回HTTP 567错误，</w:t>
      </w:r>
      <w:r>
        <w:rPr>
          <w:rStyle w:val="VerbatimChar"/>
        </w:rPr>
        <w:t xml:space="preserve">announcements.ok=false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📋 今日增减持、解禁、业绩预告或快报、停复牌、重组、关注函和监管问询均为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🚫 不把接口失败写成</w:t>
      </w:r>
      <w:r>
        <w:t xml:space="preserve">“</w:t>
      </w:r>
      <w:r>
        <w:t xml:space="preserve">今日无重大公告</w:t>
      </w:r>
      <w:r>
        <w:t xml:space="preserve">”</w:t>
      </w:r>
      <w:r>
        <w:t xml:space="preserve">，也不根据公司名称自行补齐公告。</w:t>
      </w:r>
    </w:p>
    <w:p>
      <w:pPr>
        <w:numPr>
          <w:ilvl w:val="0"/>
          <w:numId w:val="1015"/>
        </w:numPr>
        <w:pStyle w:val="Compact"/>
      </w:pPr>
      <w:r>
        <w:t xml:space="preserve">💡 弘元绿能、风语筑、工商银行、农业银行及所有候选股在交易前，应先核查交易所和公司正式披露；出现异常跳空时暂停执行原预案。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经济数据与重要事件"/>
      <w:r>
        <w:t xml:space="preserve">📅 今日经济数据与重要事件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 采集JSON未提供7月31日国内CPI、PPI、PMI、GDP、社融、M2以及MLF、LPR、逆回购的确认日程，具体发布时间均为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⚠️ 海外CPI、非农和重要会议的今日时间表没有结构化来源确认，不编写虚构日程。</w:t>
      </w:r>
    </w:p>
    <w:p>
      <w:pPr>
        <w:numPr>
          <w:ilvl w:val="0"/>
          <w:numId w:val="1016"/>
        </w:numPr>
        <w:pStyle w:val="Compact"/>
      </w:pPr>
      <w:r>
        <w:t xml:space="preserve">🏦 已确认的隔夜事件是美联储29日维持联邦基金利率目标区间3.5%—3.75%不变；这不是今日待公布日程。</w:t>
      </w:r>
    </w:p>
    <w:p>
      <w:pPr>
        <w:numPr>
          <w:ilvl w:val="0"/>
          <w:numId w:val="1016"/>
        </w:numPr>
        <w:pStyle w:val="Compact"/>
      </w:pPr>
      <w:r>
        <w:t xml:space="preserve">🔴 国内政策观察重点：财政支出和债券资金使用、增量政策、财政金融协同促内需、</w:t>
      </w:r>
      <w:r>
        <w:t xml:space="preserve">“</w:t>
      </w:r>
      <w:r>
        <w:t xml:space="preserve">六张网</w:t>
      </w:r>
      <w:r>
        <w:t xml:space="preserve">”</w:t>
      </w:r>
      <w:r>
        <w:t xml:space="preserve">和</w:t>
      </w:r>
      <w:r>
        <w:t xml:space="preserve">“</w:t>
      </w:r>
      <w:r>
        <w:t xml:space="preserve">人工智能+</w:t>
      </w:r>
      <w:r>
        <w:t xml:space="preserve">”</w:t>
      </w:r>
      <w:r>
        <w:t xml:space="preserve">的后续部门落实。</w:t>
      </w:r>
    </w:p>
    <w:p>
      <w:pPr>
        <w:numPr>
          <w:ilvl w:val="0"/>
          <w:numId w:val="1016"/>
        </w:numPr>
        <w:pStyle w:val="Compact"/>
      </w:pPr>
      <w:r>
        <w:t xml:space="preserve">💡 盘中若出现宏观消息，至少等待人民币、A50、指数和对应板块四者中的三者同向验证后再提高仓位。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全球重要事件"/>
      <w:r>
        <w:t xml:space="preserve">🌍 全球重要事件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中东冲突升级</w:t>
      </w:r>
      <w:r>
        <w:t xml:space="preserve">：美军恢复对伊朗打击，伊拉克方向亦出现军事冲突；WTI原油涨0.66%，布伦特原油已在每桶90美元上方，油气受益预期与航空、物流、化工成本压力并存。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日本熊本地震冲击供应链</w:t>
      </w:r>
      <w:r>
        <w:t xml:space="preserve">：已造成34人死亡、超过2.6万户停电、超过7.7万户断水，多家半导体工厂停产。必须确认具体产能与替代关系，禁止泛化炒作国产替代。</w:t>
      </w:r>
    </w:p>
    <w:p>
      <w:pPr>
        <w:numPr>
          <w:ilvl w:val="0"/>
          <w:numId w:val="1017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美联储维持利率</w:t>
      </w:r>
      <w:r>
        <w:t xml:space="preserve">：利率区间3.5%—3.75%，通胀仍高于目标；成长股估值修复仍受外部利率约束。</w:t>
      </w:r>
    </w:p>
    <w:p>
      <w:pPr>
        <w:numPr>
          <w:ilvl w:val="0"/>
          <w:numId w:val="1017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中国AI产品出海</w:t>
      </w:r>
      <w:r>
        <w:t xml:space="preserve">：光模块、集成电路、激光雷达、3D打印和机器人均有明确出口增速，是今日政策与产业数据最强交集。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俄乌冲突延续</w:t>
      </w:r>
      <w:r>
        <w:t xml:space="preserve">：俄方称对基辅等地军用机场、军工企业和物流中心实施大规模打击，地缘风险继续抬升。</w:t>
      </w:r>
    </w:p>
    <w:p>
      <w:pPr>
        <w:numPr>
          <w:ilvl w:val="0"/>
          <w:numId w:val="1017"/>
        </w:numPr>
        <w:pStyle w:val="Compact"/>
      </w:pPr>
      <w:r>
        <w:t xml:space="preserve">🚫 加密货币、国际选举和海外科技巨头新品没有本轮确认信息，不作扩写。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昨日复盘要点"/>
      <w:r>
        <w:t xml:space="preserve">📊 昨日复盘要点</w:t>
      </w:r>
      <w:bookmarkEnd w:id="40"/>
    </w:p>
    <w:p>
      <w:pPr>
        <w:pStyle w:val="Heading3"/>
      </w:pPr>
      <w:bookmarkStart w:id="41" w:name="指数宽度与量能"/>
      <w:r>
        <w:t xml:space="preserve">📉 指数、宽度与量能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上证指数3804.6926点，跌0.6210%；深证成指13285.801点，跌2.7283%；创业板指3244.618点，跌3.9683%。</w:t>
      </w:r>
    </w:p>
    <w:p>
      <w:pPr>
        <w:numPr>
          <w:ilvl w:val="0"/>
          <w:numId w:val="1018"/>
        </w:numPr>
        <w:pStyle w:val="Compact"/>
      </w:pPr>
      <w:r>
        <w:t xml:space="preserve">科创50为1588.4149点，跌5.3804%；沪深300为4549.7201点，跌1.0987%。</w:t>
      </w:r>
    </w:p>
    <w:p>
      <w:pPr>
        <w:numPr>
          <w:ilvl w:val="0"/>
          <w:numId w:val="1018"/>
        </w:numPr>
        <w:pStyle w:val="Compact"/>
      </w:pPr>
      <w:r>
        <w:t xml:space="preserve">同花顺单源显示上涨1768家、下跌3635家、平盘125家，涨停56家、跌停76家，亏钱效应明显。</w:t>
      </w:r>
    </w:p>
    <w:p>
      <w:pPr>
        <w:numPr>
          <w:ilvl w:val="0"/>
          <w:numId w:val="1018"/>
        </w:numPr>
        <w:pStyle w:val="Compact"/>
      </w:pPr>
      <w:r>
        <w:t xml:space="preserve">全市场成交额23584.20亿元为同花顺单源确认；其列示的前一日金额为23117.16亿元，比较口径未核验，不计算变化百分比。</w:t>
      </w:r>
    </w:p>
    <w:p>
      <w:pPr>
        <w:numPr>
          <w:ilvl w:val="0"/>
          <w:numId w:val="1018"/>
        </w:numPr>
        <w:pStyle w:val="Compact"/>
      </w:pPr>
      <w:r>
        <w:t xml:space="preserve">📉 成长指数显著弱于上证与沪深300，说明资金偏向低波动和防御，科技修复仍需先证明不是下跌中继。</w:t>
      </w:r>
    </w:p>
    <w:p>
      <w:pPr>
        <w:pStyle w:val="Heading3"/>
      </w:pPr>
      <w:bookmarkStart w:id="42" w:name="昨日资金流入top10"/>
      <w:r>
        <w:t xml:space="preserve">💰 昨日资金流入TOP10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，东方财富接口返回HTTP 502；本轮没有结构完整的板块主力净流入TOP10。</w:t>
      </w:r>
    </w:p>
    <w:p>
      <w:pPr>
        <w:numPr>
          <w:ilvl w:val="0"/>
          <w:numId w:val="1019"/>
        </w:numPr>
        <w:pStyle w:val="Compact"/>
      </w:pPr>
      <w:r>
        <w:t xml:space="preserve">🚫 资金流入第1—10名及金额全部</w:t>
      </w:r>
      <w:r>
        <w:rPr>
          <w:b/>
        </w:rPr>
        <w:t xml:space="preserve">未核验</w:t>
      </w:r>
      <w:r>
        <w:t xml:space="preserve">，禁止从华泰文本、新闻或上一交易日旧报告补写。</w:t>
      </w:r>
    </w:p>
    <w:p>
      <w:pPr>
        <w:numPr>
          <w:ilvl w:val="0"/>
          <w:numId w:val="1019"/>
        </w:numPr>
        <w:pStyle w:val="Compact"/>
      </w:pPr>
      <w:r>
        <w:t xml:space="preserve">📌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仅提供满足</w:t>
      </w:r>
      <w:r>
        <w:t xml:space="preserve">“</w:t>
      </w:r>
      <w:r>
        <w:t xml:space="preserve">主力净流入排名前10%、高换手、强势</w:t>
      </w:r>
      <w:r>
        <w:t xml:space="preserve">”</w:t>
      </w:r>
      <w:r>
        <w:t xml:space="preserve">等复合条件的股票样本，不等同于全市场资金流入TOP10榜单。</w:t>
      </w:r>
    </w:p>
    <w:p>
      <w:pPr>
        <w:pStyle w:val="Heading3"/>
      </w:pPr>
      <w:bookmarkStart w:id="43" w:name="昨日资金流出top10"/>
      <w:r>
        <w:t xml:space="preserve">⚠️ 昨日资金流出TOP10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，本轮没有结构完整的板块主力净流出TOP10。</w:t>
      </w:r>
    </w:p>
    <w:p>
      <w:pPr>
        <w:numPr>
          <w:ilvl w:val="0"/>
          <w:numId w:val="1020"/>
        </w:numPr>
        <w:pStyle w:val="Compact"/>
      </w:pPr>
      <w:r>
        <w:t xml:space="preserve">🚫 资金流出第1—10名及金额全部</w:t>
      </w:r>
      <w:r>
        <w:rPr>
          <w:b/>
        </w:rPr>
        <w:t xml:space="preserve">未核验</w:t>
      </w:r>
      <w:r>
        <w:t xml:space="preserve">，不把缺失榜单写成</w:t>
      </w:r>
      <w:r>
        <w:t xml:space="preserve">“</w:t>
      </w:r>
      <w:r>
        <w:t xml:space="preserve">无明显流出方向</w:t>
      </w:r>
      <w:r>
        <w:t xml:space="preserve">”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💡 开盘后必须以实时板块资金重新识别撤退方向；在此之前不对任何板块作</w:t>
      </w:r>
      <w:r>
        <w:t xml:space="preserve">“</w:t>
      </w:r>
      <w:r>
        <w:t xml:space="preserve">大额净流出</w:t>
      </w:r>
      <w:r>
        <w:t xml:space="preserve">”</w:t>
      </w:r>
      <w:r>
        <w:t xml:space="preserve">定量结论。</w:t>
      </w:r>
    </w:p>
    <w:p>
      <w:pPr>
        <w:pStyle w:val="Heading3"/>
      </w:pPr>
      <w:bookmarkStart w:id="44" w:name="华泰补充样本"/>
      <w:r>
        <w:t xml:space="preserve">🔥 华泰补充样本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📈 华泰复合筛选前10只为：恒锋信息10.25元、涨13.51%、主力净流入5778.61万元；海南海药5.95元、涨9.98%、净流入3.24亿元；国际复材32.93元、涨9.04%、净流入10.42亿元。</w:t>
      </w:r>
    </w:p>
    <w:p>
      <w:pPr>
        <w:numPr>
          <w:ilvl w:val="0"/>
          <w:numId w:val="1021"/>
        </w:numPr>
        <w:pStyle w:val="Compact"/>
      </w:pPr>
      <w:r>
        <w:t xml:space="preserve">📈 天溯计量39.08元、涨19.99%、净流入3658.82万元；昊创瑞通37.26元、涨20.00%、净流入4919.52万元；国瓷材料61.28元、涨3.65%、净流入1.29亿元。</w:t>
      </w:r>
    </w:p>
    <w:p>
      <w:pPr>
        <w:numPr>
          <w:ilvl w:val="0"/>
          <w:numId w:val="1021"/>
        </w:numPr>
        <w:pStyle w:val="Compact"/>
      </w:pPr>
      <w:r>
        <w:t xml:space="preserve">📈 永鼎股份32.96元、涨7.33%、净流入14.69亿元；川金诺19.14元、涨2.90%、净流入4289.23万元；福石控股4.27元、涨6.75%、净流入7571.13万元；纳百川65.82元、涨20.00%、净流入6404.80万元。</w:t>
      </w:r>
    </w:p>
    <w:p>
      <w:pPr>
        <w:numPr>
          <w:ilvl w:val="0"/>
          <w:numId w:val="1021"/>
        </w:numPr>
        <w:pStyle w:val="Compact"/>
      </w:pPr>
      <w:r>
        <w:t xml:space="preserve">⚠️ 上述10只来自华泰单一补充源，且本地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失败；数值可作为单源线索，但不能替代新浪/东方财富/腾讯多源校验，也不能据此推导板块TOP10。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今日操作策略"/>
      <w:r>
        <w:t xml:space="preserve">🎯 今日操作策略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市场预判：政策驱动的修复窗口，但底色仍是偏弱防御。</w:t>
      </w:r>
      <w:r>
        <w:t xml:space="preserve"> </w:t>
      </w:r>
      <w:r>
        <w:t xml:space="preserve">A50涨1.20%与政治局会议利好开盘，昨日76只跌停和成长指数重挫则限制追高空间。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激进型：仓位上限40%</w:t>
      </w:r>
      <w:r>
        <w:t xml:space="preserve">。首轮不超过20%，只在AI算力出口或六张网基建出现板块放量、主力净流入和核心股承接时再提高仓位。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均衡型：仓位上限25%</w:t>
      </w:r>
      <w:r>
        <w:t xml:space="preserve">。以高股息底仓和政策主线观察仓为主，等待上证收复3828.469点附近前收参考位、跌停不再扩散。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保守型：仓位上限10%</w:t>
      </w:r>
      <w:r>
        <w:t xml:space="preserve">。不开盘追高，优先核验公告和实时资金，等待午前出现指数、宽度、资金三重确认。</w:t>
      </w:r>
    </w:p>
    <w:p>
      <w:pPr>
        <w:numPr>
          <w:ilvl w:val="0"/>
          <w:numId w:val="1022"/>
        </w:numPr>
        <w:pStyle w:val="Compact"/>
      </w:pPr>
      <w:r>
        <w:t xml:space="preserve">🔥 盘前核心观察股：永鼎股份、昊创瑞通、国瓷材料、弘元绿能、工商银行；均为条件观察，不等于直接买入。</w:t>
      </w:r>
    </w:p>
    <w:p>
      <w:pPr>
        <w:numPr>
          <w:ilvl w:val="0"/>
          <w:numId w:val="1022"/>
        </w:numPr>
        <w:pStyle w:val="Compact"/>
      </w:pPr>
      <w:r>
        <w:t xml:space="preserve">🚫 风语筑相对自身前收走弱，弘元绿能昨日涨停但持仓仍深亏；二者都不允许因成本价较高而无条件补仓。</w:t>
      </w:r>
    </w:p>
    <w:p>
      <w:pPr>
        <w:numPr>
          <w:ilvl w:val="0"/>
          <w:numId w:val="1022"/>
        </w:numPr>
        <w:pStyle w:val="Compact"/>
      </w:pPr>
      <w:r>
        <w:t xml:space="preserve">⚠️ 若A50利好未能传导、上证跌破3804.6926点且不能快速收回，或跌停数量继续高于涨停数量，各模型仓位回到首轮下沿。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重点投资方向"/>
      <w:r>
        <w:t xml:space="preserve">🎯 今日重点投资方向</w:t>
      </w:r>
      <w:bookmarkEnd w:id="46"/>
    </w:p>
    <w:p>
      <w:pPr>
        <w:pStyle w:val="Heading3"/>
      </w:pPr>
      <w:bookmarkStart w:id="47" w:name="方向一ai算力出口光通信集成电路优先级高"/>
      <w:r>
        <w:t xml:space="preserve">方向一：AI算力出口—光通信/集成电路（优先级：高）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：政治局会议明确深入实施</w:t>
      </w:r>
      <w:r>
        <w:t xml:space="preserve">“</w:t>
      </w:r>
      <w:r>
        <w:t xml:space="preserve">人工智能+</w:t>
      </w:r>
      <w:r>
        <w:t xml:space="preserve">”</w:t>
      </w:r>
      <w:r>
        <w:t xml:space="preserve">；央视确认光通信激光收发模块出口增长22.3%、集成电路出口增长88.7%；华泰复合筛选中永鼎股份涨7.33%、主力净流入14.69亿元，国瓷材料涨3.65%、净流入1.29亿元。</w:t>
      </w:r>
    </w:p>
    <w:p>
      <w:pPr>
        <w:numPr>
          <w:ilvl w:val="0"/>
          <w:numId w:val="102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：永鼎股份（华泰样本中资金净流入最高、强势高换手）；国瓷材料（电子材料方向的强势资金样本）。两只均缺本地三源行情校验，盘前仅作观察。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：激进者等待永鼎股份回踩承接、板块资金转入后小仓试错；稳健者等待光通信与集成电路至少两个细分方向同步放量；保守者继续观察，不追政策一致性高开。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：成长指数止跌，AI硬件板块实时主力净流入，永鼎股份不跌破开盘价且不出现放量冲高回落。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：科创50继续显著弱于上证、AI硬件由净流入转净流出，或永鼎股份跌破开盘价后反抽失败。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：昨日成长方向整体大跌，华泰样本为单源；政策与出口增长不等于今日股价立即反转。</w:t>
      </w:r>
    </w:p>
    <w:p>
      <w:pPr>
        <w:pStyle w:val="Heading3"/>
      </w:pPr>
      <w:bookmarkStart w:id="48" w:name="方向二六张网电网物流枢纽城市基础设施优先级中"/>
      <w:r>
        <w:t xml:space="preserve">方向二：六张网—电网/物流枢纽/城市基础设施（优先级：中）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：政治局会议要求扎实推进</w:t>
      </w:r>
      <w:r>
        <w:t xml:space="preserve">“</w:t>
      </w:r>
      <w:r>
        <w:t xml:space="preserve">六张网</w:t>
      </w:r>
      <w:r>
        <w:t xml:space="preserve">”</w:t>
      </w:r>
      <w:r>
        <w:t xml:space="preserve">规划建设并加快财政支出和债券资金使用；上半年水运、航空运输业投资分别增长19.8%和11%；华泰复合筛选中昊创瑞通涨20.00%、净流入4919.52万元，恒锋信息涨13.51%、净流入5778.61万元。</w:t>
      </w:r>
    </w:p>
    <w:p>
      <w:pPr>
        <w:numPr>
          <w:ilvl w:val="0"/>
          <w:numId w:val="102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：昊创瑞通、恒锋信息，入选理由均为华泰强势、高换手和资金净流入复合样本；本轮缺少结构化板块归属及多源行情校验，须在盘中确认其与电网或数字基础设施主线是否真实共振。</w:t>
      </w:r>
    </w:p>
    <w:p>
      <w:pPr>
        <w:numPr>
          <w:ilvl w:val="0"/>
          <w:numId w:val="102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：激进者只做主线确认后的换手承接；稳健者等待基建板块成交与资金同时转强；保守者优先观察低估值央国企或ETF，不参与20%涨幅后的高位接力。</w:t>
      </w:r>
    </w:p>
    <w:p>
      <w:pPr>
        <w:numPr>
          <w:ilvl w:val="0"/>
          <w:numId w:val="102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：六张网相关板块至少两个细分方向上涨，板块主力净流入延续，核心股高开后不出现快速回落。</w:t>
      </w:r>
    </w:p>
    <w:p>
      <w:pPr>
        <w:numPr>
          <w:ilvl w:val="0"/>
          <w:numId w:val="102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：只有单股涨停、板块成交不增，或政策利好兑现为高开低走。</w:t>
      </w:r>
    </w:p>
    <w:p>
      <w:pPr>
        <w:numPr>
          <w:ilvl w:val="0"/>
          <w:numId w:val="102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：板块资金和成交榜单缺失，政策映射可能过宽；高换手强势股存在兑现压力。</w:t>
      </w:r>
    </w:p>
    <w:p>
      <w:pPr>
        <w:pStyle w:val="Heading3"/>
      </w:pPr>
      <w:bookmarkStart w:id="49" w:name="方向三国有大行高股息防御优先级观察"/>
      <w:r>
        <w:t xml:space="preserve">方向三：国有大行—高股息防御（优先级：观察）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：派生市场风格为偏弱/防御；上证跌0.6210%、沪深300跌1.0987%，显著强于创业板和科创50；工商银行最新可得价8.15元、涨2.52%，在弱市中表现偏强。</w:t>
      </w:r>
    </w:p>
    <w:p>
      <w:pPr>
        <w:numPr>
          <w:ilvl w:val="0"/>
          <w:numId w:val="102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：工商银行（价格和涨幅已由华泰行情确认）；农业银行（用户持仓中的国有大行，但本轮实时行情未获得，暂不作强弱定量判断）。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：激进者不以大行为进攻主线；稳健者持有已有利润仓并设置保护条件；保守者等待银行板块实时资金确认后再决定是否配置。</w:t>
      </w:r>
    </w:p>
    <w:p>
      <w:pPr>
        <w:numPr>
          <w:ilvl w:val="0"/>
          <w:numId w:val="102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：工商银行站稳8.15元、国有大行同步走强，且银行板块出现主力净流入。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：工商银行跌破7.95元后不能收回，或成长修复引发高股息集体补跌。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：本轮银行板块资金数据缺失；政策防风险不等同于银行股单边上涨。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华泰自选股观察"/>
      <w:r>
        <w:t xml:space="preserve">🧾 华泰自选股观察</w:t>
      </w:r>
      <w:bookmarkEnd w:id="50"/>
    </w:p>
    <w:p>
      <w:pPr>
        <w:pStyle w:val="FirstParagraph"/>
      </w:pPr>
      <w:r>
        <w:t xml:space="preserve">华泰自选股共3只，行情全部成功获取。弘元绿能昨日涨停、工商银行逆势上涨，风语筑继续走弱；三者分别对应光伏、高股息和数字文化，均未获得本地个股三源交叉校验。AI算力与六张网是政策主线，自选股中没有明确的AI核心样本，因此整体仍以跟踪和持仓管理为主。</w:t>
      </w:r>
    </w:p>
    <w:p>
      <w:pPr>
        <w:numPr>
          <w:ilvl w:val="0"/>
          <w:numId w:val="1026"/>
        </w:numPr>
        <w:pStyle w:val="Compact"/>
      </w:pPr>
      <w:r>
        <w:rPr>
          <w:b/>
        </w:rPr>
        <w:t xml:space="preserve">603185 弘元绿能</w:t>
      </w:r>
      <w:r>
        <w:t xml:space="preserve">：最新可得价15.37元，较前收13.97元涨10.02%，触及采集数据中的涨停价15.37元；属于光伏硅片/设备方向。与</w:t>
      </w:r>
      <w:r>
        <w:t xml:space="preserve">“</w:t>
      </w:r>
      <w:r>
        <w:t xml:space="preserve">绿色转型、传统产业升级</w:t>
      </w:r>
      <w:r>
        <w:t xml:space="preserve">”</w:t>
      </w:r>
      <w:r>
        <w:t xml:space="preserve">有政策关系，但不是本轮最明确的AI或六张网主线，且资金、成交与板块表现未核验。判断：</w:t>
      </w:r>
      <w:r>
        <w:rPr>
          <w:b/>
        </w:rPr>
        <w:t xml:space="preserve">偏强但不追高；持仓以观察封板质量和次日承接为主，不因深亏加仓。</w:t>
      </w:r>
    </w:p>
    <w:p>
      <w:pPr>
        <w:numPr>
          <w:ilvl w:val="0"/>
          <w:numId w:val="1026"/>
        </w:numPr>
        <w:pStyle w:val="Compact"/>
      </w:pPr>
      <w:r>
        <w:rPr>
          <w:b/>
        </w:rPr>
        <w:t xml:space="preserve">603466 风语筑</w:t>
      </w:r>
      <w:r>
        <w:t xml:space="preserve">：最新可得价9.28元，较前收9.56元跌2.93%；属于数字文化展示方向。新闻联播确认文化新业态营收增长9.6%，但个股价格未与政策线索共振。判断：</w:t>
      </w:r>
      <w:r>
        <w:rPr>
          <w:b/>
        </w:rPr>
        <w:t xml:space="preserve">偏弱，以跟踪为主、暂不作为主攻方向；未收复9.56元前不加仓。</w:t>
      </w:r>
    </w:p>
    <w:p>
      <w:pPr>
        <w:numPr>
          <w:ilvl w:val="0"/>
          <w:numId w:val="1026"/>
        </w:numPr>
        <w:pStyle w:val="Compact"/>
      </w:pPr>
      <w:r>
        <w:rPr>
          <w:b/>
        </w:rPr>
        <w:t xml:space="preserve">601398 工商银行</w:t>
      </w:r>
      <w:r>
        <w:t xml:space="preserve">：最新可得价8.15元，较前收7.95元涨2.52%；属于国有大行和高股息防御方向。与偏弱/防御市场风格及稳地产、化债、防金融风险政策共振，但不是进攻主线。判断：</w:t>
      </w:r>
      <w:r>
        <w:rPr>
          <w:b/>
        </w:rPr>
        <w:t xml:space="preserve">偏强、继续持有并保护利润；站稳8.15元且银行板块资金转入后才可低吸跟踪，不追高。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用户实盘持仓策略"/>
      <w:r>
        <w:t xml:space="preserve">💼 用户实盘持仓策略</w:t>
      </w:r>
      <w:bookmarkEnd w:id="51"/>
    </w:p>
    <w:p>
      <w:pPr>
        <w:pStyle w:val="Heading3"/>
      </w:pPr>
      <w:bookmarkStart w:id="52" w:name="弘元绿能涨停后观察承接反弹仍以风险管理为先"/>
      <w:r>
        <w:t xml:space="preserve">📈 603185 弘元绿能：涨停后观察承接，反弹仍以风险管理为先</w:t>
      </w:r>
      <w:bookmarkEnd w:id="52"/>
    </w:p>
    <w:p>
      <w:pPr>
        <w:numPr>
          <w:ilvl w:val="0"/>
          <w:numId w:val="1027"/>
        </w:numPr>
        <w:pStyle w:val="Compact"/>
      </w:pPr>
      <w:r>
        <w:t xml:space="preserve">📊 持仓300股，成本26.6669元，最新可得价15.37元；当前浮亏42.36%，按现价计算浮亏3389.07元。</w:t>
      </w:r>
    </w:p>
    <w:p>
      <w:pPr>
        <w:numPr>
          <w:ilvl w:val="0"/>
          <w:numId w:val="1027"/>
        </w:numPr>
        <w:pStyle w:val="Compact"/>
      </w:pPr>
      <w:r>
        <w:t xml:space="preserve">📈 最新价较前收13.97元涨10.02%，触及采集数据中的涨停价15.37元；但日K趋势、成交量、板块资金和公告均未核验，不能据单日涨停判定趋势反转。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今日动作：持有观察，不追高、不无条件补仓；若涨停溢价兑现且承接转弱，反弹减仓。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：开板或高开后跌回15.37元下方且反抽不能收回，或光伏方向未形成板块联动，可分批降低仓位；若进一步跌破13.97元前收参考位，风险控制优先。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：仅在15.37元上方完成换手并稳定、光伏板块出现持续净流入、成交放大且回踩不破开盘价时，才考虑极小仓试错。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：涨停后的修复演变为放量冲高回落，或个股强势但光伏板块不跟随。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：当前仍深度浮亏，26.6669元成本价不是持有或补仓理由；公告源失败，交易前必须核验正式披露。</w:t>
      </w:r>
    </w:p>
    <w:p>
      <w:pPr>
        <w:pStyle w:val="Heading3"/>
      </w:pPr>
      <w:bookmarkStart w:id="53" w:name="风语筑最需减仓观察"/>
      <w:r>
        <w:t xml:space="preserve">📉 603466 风语筑：最需减仓观察</w:t>
      </w:r>
      <w:bookmarkEnd w:id="53"/>
    </w:p>
    <w:p>
      <w:pPr>
        <w:numPr>
          <w:ilvl w:val="0"/>
          <w:numId w:val="1028"/>
        </w:numPr>
        <w:pStyle w:val="Compact"/>
      </w:pPr>
      <w:r>
        <w:t xml:space="preserve">📊 持仓700股，成本13.2159元，最新可得价9.28元；当前浮亏29.78%，按现价计算浮亏2755.13元。</w:t>
      </w:r>
    </w:p>
    <w:p>
      <w:pPr>
        <w:numPr>
          <w:ilvl w:val="0"/>
          <w:numId w:val="1028"/>
        </w:numPr>
        <w:pStyle w:val="Compact"/>
      </w:pPr>
      <w:r>
        <w:t xml:space="preserve">📉 最新价较前收9.56元跌2.93%；文化新业态数据偏利好，但个股未共振，且本轮量价趋势、板块资金和公告未核验。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今日动作：反弹减仓观察；若政策利好下仍弱于传媒和数字文化板块，优先降低仓位。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：不能收复9.56元且持续低于9.28元，或板块上涨而个股继续走弱，可分批减仓；若跌向采集数据中的8.60元昨日跌停参考位，执行风险优先。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：重新站稳9.56元、成交改善、数字文化板块实时资金转入且个股强于板块后，才允许小仓评估。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：站上9.56元后快速回落，或利好刺激仅形成盘中脉冲。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：板块政策数据不等于公司业绩兑现，禁止因浮亏29.78%机械摊薄。</w:t>
      </w:r>
    </w:p>
    <w:p>
      <w:pPr>
        <w:pStyle w:val="Heading3"/>
      </w:pPr>
      <w:bookmarkStart w:id="54" w:name="工商银行最稳健持有保护利润"/>
      <w:r>
        <w:t xml:space="preserve">📈 601398 工商银行：最稳健持有，保护利润</w:t>
      </w:r>
      <w:bookmarkEnd w:id="54"/>
    </w:p>
    <w:p>
      <w:pPr>
        <w:numPr>
          <w:ilvl w:val="0"/>
          <w:numId w:val="1029"/>
        </w:numPr>
        <w:pStyle w:val="Compact"/>
      </w:pPr>
      <w:r>
        <w:t xml:space="preserve">📊 持仓1900股，成本7.0601元，最新可得价8.15元；当前浮盈15.44%，按现价计算浮盈2070.81元。</w:t>
      </w:r>
    </w:p>
    <w:p>
      <w:pPr>
        <w:numPr>
          <w:ilvl w:val="0"/>
          <w:numId w:val="1029"/>
        </w:numPr>
        <w:pStyle w:val="Compact"/>
      </w:pPr>
      <w:r>
        <w:t xml:space="preserve">📈 最新价较前收7.95元涨2.52%，弱市中表现偏强；政治局会议部署稳地产、化债和中小金融机构改革化险，对大行防御逻辑偏利好，但银行板块资金未核验。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今日动作：继续持有，以保护利润为主；不在板块资金未确认时追高。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：跌破8.15元后持续走弱，且进一步跌破7.95元并伴随国有大行同步转弱，可分批止盈。</w:t>
      </w:r>
    </w:p>
    <w:p>
      <w:pPr>
        <w:numPr>
          <w:ilvl w:val="0"/>
          <w:numId w:val="102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：站稳8.15元、银行板块出现净流入、农业银行等国有大行同步走强时，才考虑小仓加仓。</w:t>
      </w:r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：银行由防御承接转为补跌，工商银行持续弱于银行指数。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：若AI或高弹性成长强修复，防御资金可能轮出；利润仓应避免由盈利转为被动深回撤。</w:t>
      </w:r>
    </w:p>
    <w:p>
      <w:pPr>
        <w:pStyle w:val="Heading3"/>
      </w:pPr>
      <w:bookmarkStart w:id="55" w:name="农业银行行情未核验条件式持有"/>
      <w:r>
        <w:t xml:space="preserve">🛡️ 601288 农业银行：行情未核验，条件式持有</w:t>
      </w:r>
      <w:bookmarkEnd w:id="55"/>
    </w:p>
    <w:p>
      <w:pPr>
        <w:numPr>
          <w:ilvl w:val="0"/>
          <w:numId w:val="1030"/>
        </w:numPr>
        <w:pStyle w:val="Compact"/>
      </w:pPr>
      <w:r>
        <w:t xml:space="preserve">📊 持仓5300股，成本6.4244元；采集JSON没有农业银行最新行情，当前价格、盈亏幅度、趋势量价、支撑阻力和公告均为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30"/>
        </w:numPr>
        <w:pStyle w:val="Compact"/>
      </w:pPr>
      <w:r>
        <w:t xml:space="preserve">🏦 政治局会议的稳地产、化债与金融改革化险对大行环境偏利好，但不能替代个股实时行情。</w:t>
      </w:r>
    </w:p>
    <w:p>
      <w:pPr>
        <w:numPr>
          <w:ilvl w:val="0"/>
          <w:numId w:val="103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今日动作：条件式持有；先核验券商实时价格，不在行情缺失时新增仓位。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：取得实时行情后，若跌破当日开盘价且反抽失败，同时工商银行和银行指数同步走弱，可分批降低风险。</w:t>
      </w:r>
    </w:p>
    <w:p>
      <w:pPr>
        <w:numPr>
          <w:ilvl w:val="0"/>
          <w:numId w:val="103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：仅在实时价格确认、股价站稳当日开盘价、银行板块主力净流入且国有大行同步走强时，才考虑小仓加仓。</w:t>
      </w:r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：政策利好被高开低走兑现，或个股相对银行板块由强转弱。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：缺少价格和公告时无法计算真实盈亏，也无法提供可靠价位；交易前必须先核验券商行情与正式公告。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6" w:name="今日风险清单"/>
      <w:r>
        <w:t xml:space="preserve">⚠️ 今日风险清单</w:t>
      </w:r>
      <w:bookmarkEnd w:id="56"/>
    </w:p>
    <w:p>
      <w:pPr>
        <w:numPr>
          <w:ilvl w:val="0"/>
          <w:numId w:val="1031"/>
        </w:numPr>
        <w:pStyle w:val="Compact"/>
      </w:pPr>
      <w:r>
        <w:t xml:space="preserve">📉 昨日下跌3635家、跌停76家，成长指数大幅下跌，情绪修复基础脆弱。</w:t>
      </w:r>
    </w:p>
    <w:p>
      <w:pPr>
        <w:numPr>
          <w:ilvl w:val="0"/>
          <w:numId w:val="1031"/>
        </w:numPr>
        <w:pStyle w:val="Compact"/>
      </w:pPr>
      <w:r>
        <w:t xml:space="preserve">⚠️ 资金流、板块表现、活跃个股、涨跌停样本和核心个股多源校验均失败，新增交易的证据链不完整。</w:t>
      </w:r>
    </w:p>
    <w:p>
      <w:pPr>
        <w:numPr>
          <w:ilvl w:val="0"/>
          <w:numId w:val="1031"/>
        </w:numPr>
        <w:pStyle w:val="Compact"/>
      </w:pPr>
      <w:r>
        <w:t xml:space="preserve">🔴 美伊冲突推高油价，日本熊本地震造成半导体工厂停产，能源与供应链风险并存。</w:t>
      </w:r>
    </w:p>
    <w:p>
      <w:pPr>
        <w:numPr>
          <w:ilvl w:val="0"/>
          <w:numId w:val="1031"/>
        </w:numPr>
        <w:pStyle w:val="Compact"/>
      </w:pPr>
      <w:r>
        <w:t xml:space="preserve">🏦 美联储维持3.5%—3.75%利率区间并关注高通胀，高估值成长的估值压力尚未消失。</w:t>
      </w:r>
    </w:p>
    <w:p>
      <w:pPr>
        <w:numPr>
          <w:ilvl w:val="0"/>
          <w:numId w:val="1031"/>
        </w:numPr>
        <w:pStyle w:val="Compact"/>
      </w:pPr>
      <w:r>
        <w:t xml:space="preserve">🚫 公告源失败，不能把</w:t>
      </w:r>
      <w:r>
        <w:t xml:space="preserve">“</w:t>
      </w:r>
      <w:r>
        <w:t xml:space="preserve">未采集到</w:t>
      </w:r>
      <w:r>
        <w:t xml:space="preserve">”</w:t>
      </w:r>
      <w:r>
        <w:t xml:space="preserve">写成</w:t>
      </w:r>
      <w:r>
        <w:t xml:space="preserve">“</w:t>
      </w:r>
      <w:r>
        <w:t xml:space="preserve">没有重大公告</w:t>
      </w:r>
      <w:r>
        <w:t xml:space="preserve">”</w:t>
      </w:r>
      <w:r>
        <w:t xml:space="preserve">；所有持仓和候选股交易前必须补查正式披露。</w:t>
      </w:r>
    </w:p>
    <w:p>
      <w:pPr>
        <w:numPr>
          <w:ilvl w:val="0"/>
          <w:numId w:val="1031"/>
        </w:numPr>
        <w:pStyle w:val="Compact"/>
      </w:pPr>
      <w:r>
        <w:t xml:space="preserve">💡 今日优先顺序：处理风语筑风险 &gt; 观察弘元绿能涨停承接 &gt; 保护工商银行利润 &gt; 核验农业银行行情 &gt; 等待政策主线资金确认。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生成时间：2026-07-31 08:32（北京时间，Asia/Shanghai）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2026-07-31T00:39:10Z</dcterms:created>
  <dcterms:modified xsi:type="dcterms:W3CDTF">2026-07-31T00:39:10Z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