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7-30周四"/>
      <w:r>
        <w:t xml:space="preserve">🌅 盘前简报 | 2026-07-30（周四）</w:t>
      </w:r>
      <w:bookmarkEnd w:id="20"/>
    </w:p>
    <w:p>
      <w:pPr>
        <w:pStyle w:val="Heading2"/>
      </w:pPr>
      <w:bookmarkStart w:id="21" w:name="数据质量与盘前结论"/>
      <w:r>
        <w:t xml:space="preserve">📊 数据质量与盘前结论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昨日市场偏强，但分化显著。</w:t>
      </w:r>
      <w:r>
        <w:t xml:space="preserve"> </w:t>
      </w:r>
      <w:r>
        <w:t xml:space="preserve">上证指数收于3828.469点，涨0.3974%；深证成指涨1.1012%，创业板指涨1.5529%，科创50跌0.8705%，沪深300涨0.6727%。指数经新浪、东方财富、腾讯三源核验一致。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同花顺单源显示上涨4253家、下跌1215家、平盘56家，涨停86家、跌停9家；结构完整可用，但缺少第二来源交叉验证。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同花顺单源确认昨日全市场成交额23117.16亿元。由于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，只引用当日与此前原始金额，不计算或使用成交额变化百分比。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🔥 资金从半导体、计算机等高位硬件分流至被动元件、游戏、食品饮料、证券和电网设备，属于风险偏好修复中的高低切换，并非科技全线回归。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关键源覆盖率为6/7，涨跌停样本源缺失；公告源亦采集失败。今日结论置信度为正常，涉及连板高度、完整公告和涨停扩散时统一降级为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💡 派生仓位模型给出激进80%、均衡65%、保守50%的仓位上限；A50期指跌0.53%、科技资金仍分化，开盘不一次性打满，先看承接和主线资金延续。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富时中国A50期指</w:t>
      </w:r>
      <w:r>
        <w:t xml:space="preserve">：14682.28点，跌0.53%，对A股开盘构成温和压力。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：7月29日收于25310.85点，涨1.96%；截至08:30，7月30日港股尚未开盘，不能把昨日收盘写成今日早盘表现。</w:t>
      </w:r>
    </w:p>
    <w:p>
      <w:pPr>
        <w:numPr>
          <w:ilvl w:val="0"/>
          <w:numId w:val="1002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美元离岸人民币</w:t>
      </w:r>
      <w:r>
        <w:t xml:space="preserve">：6.7612，变动0.01%，汇率短线相对稳定。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COMEX黄金</w:t>
      </w:r>
      <w:r>
        <w:t xml:space="preserve">：4131.565，涨0.84%；避险需求升温。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WTI原油</w:t>
      </w:r>
      <w:r>
        <w:t xml:space="preserve">：84.054，跌0.48%；绝对价格仍高，地缘升级时航空、物流和化工下游成本风险不能忽视。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伦铜</w:t>
      </w:r>
      <w:r>
        <w:t xml:space="preserve">：13660.88，涨0.59%，对有色金属提供温和外盘支撑。</w:t>
      </w:r>
    </w:p>
    <w:p>
      <w:pPr>
        <w:numPr>
          <w:ilvl w:val="0"/>
          <w:numId w:val="1002"/>
        </w:numPr>
        <w:pStyle w:val="Compact"/>
      </w:pPr>
      <w:r>
        <w:t xml:space="preserve">⚠️ 采集JSON未提供美股三大指数、重点中概股及欧洲主要指数的结构化行情，具体涨跌幅均为</w:t>
      </w:r>
      <w:r>
        <w:rPr>
          <w:b/>
        </w:rPr>
        <w:t xml:space="preserve">未核验</w:t>
      </w:r>
      <w:r>
        <w:t xml:space="preserve">，不补写数值。</w:t>
      </w:r>
    </w:p>
    <w:p>
      <w:pPr>
        <w:numPr>
          <w:ilvl w:val="0"/>
          <w:numId w:val="1002"/>
        </w:numPr>
        <w:pStyle w:val="Compact"/>
      </w:pPr>
      <w:r>
        <w:t xml:space="preserve">⚠️ 华泰补充分析提示外围科技承压、美联储立场偏鹰，但该文本未获得本地结构化行情交叉核验，仅作为风险线索，不作为唯一事实来源。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7月29日《新闻联播》共12条目录，12条正文全部采集成功；节目日期、目录数与详情数一致，来源为央视网。</w:t>
      </w:r>
    </w:p>
    <w:p>
      <w:pPr>
        <w:numPr>
          <w:ilvl w:val="0"/>
          <w:numId w:val="1003"/>
        </w:numPr>
        <w:pStyle w:val="Compact"/>
      </w:pPr>
      <w:r>
        <w:t xml:space="preserve">🚀 最强产业信号是</w:t>
      </w:r>
      <w:r>
        <w:t xml:space="preserve">“</w:t>
      </w:r>
      <w:r>
        <w:t xml:space="preserve">新新三样</w:t>
      </w:r>
      <w:r>
        <w:t xml:space="preserve">”</w:t>
      </w:r>
      <w:r>
        <w:t xml:space="preserve">：机器人、人工智能、创新药出口提速，并明确提到光纤、光模块、服务器和液冷产品，利好AI算力出口链、机器人及创新药国际化。</w:t>
      </w:r>
    </w:p>
    <w:p>
      <w:pPr>
        <w:numPr>
          <w:ilvl w:val="0"/>
          <w:numId w:val="1003"/>
        </w:numPr>
        <w:pStyle w:val="Compact"/>
      </w:pPr>
      <w:r>
        <w:t xml:space="preserve">🌾 乡村全面振兴与农业农村现代化继续推进，政策具备中长期确定性；但昨日资金主线未指向农业，短线先观察、不抢跑。</w:t>
      </w:r>
    </w:p>
    <w:p>
      <w:pPr>
        <w:numPr>
          <w:ilvl w:val="0"/>
          <w:numId w:val="1003"/>
        </w:numPr>
        <w:pStyle w:val="Compact"/>
      </w:pPr>
      <w:r>
        <w:t xml:space="preserve">🌱</w:t>
      </w:r>
      <w:r>
        <w:t xml:space="preserve"> 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知识产权、碳排放下降目标、充电基础设施和C919高原型试飞，分别对应知识产权服务、低碳技术、电网充电和大飞机产业链。</w:t>
      </w:r>
    </w:p>
    <w:p>
      <w:pPr>
        <w:numPr>
          <w:ilvl w:val="0"/>
          <w:numId w:val="1003"/>
        </w:numPr>
        <w:pStyle w:val="Compact"/>
      </w:pPr>
      <w:r>
        <w:t xml:space="preserve">⚠️ 日本熊本地震已造成工厂停产与交通受阻；美伊军事行动升级，供应链、油价和全球风险偏好均面临扰动。</w:t>
      </w:r>
    </w:p>
    <w:p>
      <w:pPr>
        <w:numPr>
          <w:ilvl w:val="0"/>
          <w:numId w:val="1003"/>
        </w:numPr>
        <w:pStyle w:val="Compact"/>
      </w:pPr>
      <w:r>
        <w:t xml:space="preserve">💡 政策映射必须接受盘面验证：优先选择昨日已有资金流入和成交配合的方向；仅有新闻、没有资金共振的题材以观察为主。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习近平致电祝贺诺瓦当选连任圣多美和普林西比总统"/>
      <w:r>
        <w:t xml:space="preserve">习近平致电祝贺诺瓦当选连任圣多美和普林西比总统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相关板块：中非合作、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；无直接短线映射</w:t>
      </w:r>
    </w:p>
    <w:p>
      <w:pPr>
        <w:numPr>
          <w:ilvl w:val="0"/>
          <w:numId w:val="1004"/>
        </w:numPr>
        <w:pStyle w:val="Compact"/>
      </w:pPr>
      <w:r>
        <w:t xml:space="preserve">核心解读：强调落实中非合作论坛北京峰会成果和双边务实合作，属于外交与长期合作框架，本条没有具体项目或订单。</w:t>
      </w:r>
    </w:p>
    <w:p>
      <w:pPr>
        <w:numPr>
          <w:ilvl w:val="0"/>
          <w:numId w:val="1004"/>
        </w:numPr>
        <w:pStyle w:val="Compact"/>
      </w:pPr>
      <w:r>
        <w:t xml:space="preserve">验证条件：后续出现明确工程、贸易或投资项目，并获得相关板块成交与资金响应；无项目落地时不作为交易依据。</w:t>
      </w:r>
    </w:p>
    <w:p>
      <w:pPr>
        <w:pStyle w:val="Heading4"/>
      </w:pPr>
      <w:bookmarkStart w:id="27" w:name="新思想引领新征程锚定农业农村现代化-乡村全面振兴扎实推进"/>
      <w:r>
        <w:t xml:space="preserve">【新思想引领新征程】锚定农业农村现代化 乡村全面振兴扎实推进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相关板块：种业、农机、智慧农业、农产品加工、冷链物流、乡村文旅</w:t>
      </w:r>
    </w:p>
    <w:p>
      <w:pPr>
        <w:numPr>
          <w:ilvl w:val="0"/>
          <w:numId w:val="1005"/>
        </w:numPr>
        <w:pStyle w:val="Compact"/>
      </w:pPr>
      <w:r>
        <w:t xml:space="preserve">核心解读：中央常态化帮扶资金用于产业发展的比例超过60%，各省2026年乡村建设任务清单共1142项，体现农业产业链和乡村建设的持续投入；政策力度属于中长期实质推进。</w:t>
      </w:r>
    </w:p>
    <w:p>
      <w:pPr>
        <w:numPr>
          <w:ilvl w:val="0"/>
          <w:numId w:val="1005"/>
        </w:numPr>
        <w:pStyle w:val="Compact"/>
      </w:pPr>
      <w:r>
        <w:t xml:space="preserve">验证条件：农业、农机或冷链板块出现放量、主力净流入和多股联动；若仅单股脉冲且资金不跟进，则继续观察。</w:t>
      </w:r>
    </w:p>
    <w:p>
      <w:pPr>
        <w:pStyle w:val="Heading4"/>
      </w:pPr>
      <w:bookmarkStart w:id="28" w:name="厚植家国情怀-共襄复兴伟业习近平总书记对侨务工作作出重要指示引发热烈反响"/>
      <w:r>
        <w:t xml:space="preserve">厚植家国情怀 共襄复兴伟业——习近平总书记对侨务工作作出重要指示引发热烈反响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相关板块：跨境服务、文化交流；无直接映射</w:t>
      </w:r>
    </w:p>
    <w:p>
      <w:pPr>
        <w:numPr>
          <w:ilvl w:val="0"/>
          <w:numId w:val="1006"/>
        </w:numPr>
        <w:pStyle w:val="Compact"/>
      </w:pPr>
      <w:r>
        <w:t xml:space="preserve">核心解读：重点是凝聚侨心侨力、服务祖国统一和中外交流，对资本市场主要是长期开放环境支持，没有新增产业工具。</w:t>
      </w:r>
    </w:p>
    <w:p>
      <w:pPr>
        <w:numPr>
          <w:ilvl w:val="0"/>
          <w:numId w:val="1006"/>
        </w:numPr>
        <w:pStyle w:val="Compact"/>
      </w:pPr>
      <w:r>
        <w:t xml:space="preserve">验证条件：后续出现侨资投资、跨境贸易或文旅便利化的具体政策，再观察相关板块资金响应。</w:t>
      </w:r>
    </w:p>
    <w:p>
      <w:pPr>
        <w:pStyle w:val="Heading4"/>
      </w:pPr>
      <w:bookmarkStart w:id="29" w:name="李强会见斯洛伐克总统"/>
      <w:r>
        <w:t xml:space="preserve">李强会见斯洛伐克总统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A股影响：偏利好</w:t>
      </w:r>
    </w:p>
    <w:p>
      <w:pPr>
        <w:numPr>
          <w:ilvl w:val="0"/>
          <w:numId w:val="1007"/>
        </w:numPr>
        <w:pStyle w:val="Compact"/>
      </w:pPr>
      <w:r>
        <w:t xml:space="preserve">相关板块：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、互联互通、新能源汽车</w:t>
      </w:r>
    </w:p>
    <w:p>
      <w:pPr>
        <w:numPr>
          <w:ilvl w:val="0"/>
          <w:numId w:val="1007"/>
        </w:numPr>
        <w:pStyle w:val="Compact"/>
      </w:pPr>
      <w:r>
        <w:t xml:space="preserve">核心解读：明确提出深化高质量共建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、互联互通和新能源汽车合作，有利于相关制造与出海预期，但当前仍是合作方向表述。</w:t>
      </w:r>
    </w:p>
    <w:p>
      <w:pPr>
        <w:numPr>
          <w:ilvl w:val="0"/>
          <w:numId w:val="1007"/>
        </w:numPr>
        <w:pStyle w:val="Compact"/>
      </w:pPr>
      <w:r>
        <w:t xml:space="preserve">验证条件：出现具体订单、投资协议或出口数据，且汽车板块延续主力净流入；若欧盟对华经贸摩擦升级，则映射减弱。</w:t>
      </w:r>
    </w:p>
    <w:p>
      <w:pPr>
        <w:pStyle w:val="Heading4"/>
      </w:pPr>
      <w:bookmarkStart w:id="30" w:name="赵乐际会见斯洛伐克总统"/>
      <w:r>
        <w:t xml:space="preserve">赵乐际会见斯洛伐克总统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相关板块：人工智能、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、数字经济</w:t>
      </w:r>
    </w:p>
    <w:p>
      <w:pPr>
        <w:numPr>
          <w:ilvl w:val="0"/>
          <w:numId w:val="1008"/>
        </w:numPr>
        <w:pStyle w:val="Compact"/>
      </w:pPr>
      <w:r>
        <w:t xml:space="preserve">核心解读：提出拓展人工智能等领域合作，与当晚</w:t>
      </w:r>
      <w:r>
        <w:t xml:space="preserve">“</w:t>
      </w:r>
      <w:r>
        <w:t xml:space="preserve">新新三样</w:t>
      </w:r>
      <w:r>
        <w:t xml:space="preserve">”</w:t>
      </w:r>
      <w:r>
        <w:t xml:space="preserve">出口叙事形成政策呼应，但未披露具体商业项目。</w:t>
      </w:r>
    </w:p>
    <w:p>
      <w:pPr>
        <w:numPr>
          <w:ilvl w:val="0"/>
          <w:numId w:val="1008"/>
        </w:numPr>
        <w:pStyle w:val="Compact"/>
      </w:pPr>
      <w:r>
        <w:t xml:space="preserve">验证条件：AI产业链出现板块级资金回流，而不是仅中际旭创、新易盛等少数个股上涨；若计算机和通信继续净流出，则暂不升级为主线。</w:t>
      </w:r>
    </w:p>
    <w:p>
      <w:pPr>
        <w:pStyle w:val="Heading4"/>
      </w:pPr>
      <w:bookmarkStart w:id="31" w:name="树立和践行正确政绩观校准干事创业价值坐标-推动学习教育成果转化"/>
      <w:r>
        <w:t xml:space="preserve">【树立和践行正确政绩观】校准干事创业价值坐标 推动学习教育成果转化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A股影响：中性</w:t>
      </w:r>
    </w:p>
    <w:p>
      <w:pPr>
        <w:numPr>
          <w:ilvl w:val="0"/>
          <w:numId w:val="1009"/>
        </w:numPr>
        <w:pStyle w:val="Compact"/>
      </w:pPr>
      <w:r>
        <w:t xml:space="preserve">相关板块：国防信息化；无直接短线映射</w:t>
      </w:r>
    </w:p>
    <w:p>
      <w:pPr>
        <w:numPr>
          <w:ilvl w:val="0"/>
          <w:numId w:val="1009"/>
        </w:numPr>
        <w:pStyle w:val="Compact"/>
      </w:pPr>
      <w:r>
        <w:t xml:space="preserve">核心解读：报道聚焦实战化训练、政治整训与问题整改，对军工长期建设有背景意义，但没有新增装备采购或产业政策。</w:t>
      </w:r>
    </w:p>
    <w:p>
      <w:pPr>
        <w:numPr>
          <w:ilvl w:val="0"/>
          <w:numId w:val="1009"/>
        </w:numPr>
        <w:pStyle w:val="Compact"/>
      </w:pPr>
      <w:r>
        <w:t xml:space="preserve">验证条件：以后续国防订单、预算或产业政策为准；缺乏实质增量时不据此交易军工股。</w:t>
      </w:r>
    </w:p>
    <w:p>
      <w:pPr>
        <w:pStyle w:val="Heading4"/>
      </w:pPr>
      <w:bookmarkStart w:id="32" w:name="十五五开好局起好步2030年我国知识产权综合实力进一步增强"/>
      <w:r>
        <w:t xml:space="preserve">【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开好局起好步】2030年我国知识产权综合实力进一步增强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相关板块：知识产权服务、人工智能、大数据、科技创新</w:t>
      </w:r>
    </w:p>
    <w:p>
      <w:pPr>
        <w:numPr>
          <w:ilvl w:val="0"/>
          <w:numId w:val="1010"/>
        </w:numPr>
        <w:pStyle w:val="Compact"/>
      </w:pPr>
      <w:r>
        <w:t xml:space="preserve">核心解读：截至6月底高价值发明专利拥有量236万件，战略性新兴产业有效发明专利174.6万件；政策明确完善AI、大数据知识产权保护规则，属于中期制度建设利好。</w:t>
      </w:r>
    </w:p>
    <w:p>
      <w:pPr>
        <w:numPr>
          <w:ilvl w:val="0"/>
          <w:numId w:val="1010"/>
        </w:numPr>
        <w:pStyle w:val="Compact"/>
      </w:pPr>
      <w:r>
        <w:t xml:space="preserve">验证条件：知识产权、数据要素和AI应用板块出现持续放量与资金净流入；若仅概念股冲高回落，则不追高。</w:t>
      </w:r>
    </w:p>
    <w:p>
      <w:pPr>
        <w:pStyle w:val="Heading4"/>
      </w:pPr>
      <w:bookmarkStart w:id="33" w:name="新新三样成中国出口新名片"/>
      <w:r>
        <w:t xml:space="preserve">“</w:t>
      </w:r>
      <w:r>
        <w:t xml:space="preserve">新新三样</w:t>
      </w:r>
      <w:r>
        <w:t xml:space="preserve">”</w:t>
      </w:r>
      <w:r>
        <w:t xml:space="preserve">成中国出口新名片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A股影响：利好</w:t>
      </w:r>
    </w:p>
    <w:p>
      <w:pPr>
        <w:numPr>
          <w:ilvl w:val="0"/>
          <w:numId w:val="1011"/>
        </w:numPr>
        <w:pStyle w:val="Compact"/>
      </w:pPr>
      <w:r>
        <w:t xml:space="preserve">相关板块：AI算力、光模块、服务器液冷、机器人、创新药出海</w:t>
      </w:r>
    </w:p>
    <w:p>
      <w:pPr>
        <w:numPr>
          <w:ilvl w:val="0"/>
          <w:numId w:val="1011"/>
        </w:numPr>
        <w:pStyle w:val="Compact"/>
      </w:pPr>
      <w:r>
        <w:t xml:space="preserve">核心解读：AI产业链相关产品贡献机电产品出口增量五成以上，清洁机器人和智能仿生机器人上半年合计出口180.9亿元，工业机器人出口62.9亿元、增长18.6%，创新药对外授权交易总额超过1000亿美元，产业与出口数据均较具体。</w:t>
      </w:r>
    </w:p>
    <w:p>
      <w:pPr>
        <w:numPr>
          <w:ilvl w:val="0"/>
          <w:numId w:val="1011"/>
        </w:numPr>
        <w:pStyle w:val="Compact"/>
      </w:pPr>
      <w:r>
        <w:t xml:space="preserve">验证条件：光模块、液冷、机器人或创新药方向至少两类出现资金净流入和成交放大；若通信仍净流出、核心股高开低走，则只按事件观察。</w:t>
      </w:r>
    </w:p>
    <w:p>
      <w:pPr>
        <w:pStyle w:val="Heading4"/>
      </w:pPr>
      <w:bookmarkStart w:id="34" w:name="中央宣传部授予王戟时代楷模称号"/>
      <w:r>
        <w:t xml:space="preserve">中央宣传部授予王戟</w:t>
      </w:r>
      <w:r>
        <w:t xml:space="preserve">“</w:t>
      </w:r>
      <w:r>
        <w:t xml:space="preserve">时代楷模</w:t>
      </w:r>
      <w:r>
        <w:t xml:space="preserve">”</w:t>
      </w:r>
      <w:r>
        <w:t xml:space="preserve">称号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</w:t>
      </w:r>
    </w:p>
    <w:p>
      <w:pPr>
        <w:numPr>
          <w:ilvl w:val="0"/>
          <w:numId w:val="1012"/>
        </w:numPr>
        <w:pStyle w:val="Compact"/>
      </w:pPr>
      <w:r>
        <w:t xml:space="preserve">相关板块：高可信软件、国防信息化；无直接短线映射</w:t>
      </w:r>
    </w:p>
    <w:p>
      <w:pPr>
        <w:numPr>
          <w:ilvl w:val="0"/>
          <w:numId w:val="1012"/>
        </w:numPr>
        <w:pStyle w:val="Compact"/>
      </w:pPr>
      <w:r>
        <w:t xml:space="preserve">核心解读：突出重大装备关键软件安全可靠和军队科研精神，强化自主可控长期逻辑，但不构成新增订单。</w:t>
      </w:r>
    </w:p>
    <w:p>
      <w:pPr>
        <w:numPr>
          <w:ilvl w:val="0"/>
          <w:numId w:val="1012"/>
        </w:numPr>
        <w:pStyle w:val="Compact"/>
      </w:pPr>
      <w:r>
        <w:t xml:space="preserve">验证条件：以软件安全、信创或军工信息化的实际订单及板块资金响应为准。</w:t>
      </w:r>
    </w:p>
    <w:p>
      <w:pPr>
        <w:pStyle w:val="Heading4"/>
      </w:pPr>
      <w:bookmarkStart w:id="35" w:name="国内联播快讯"/>
      <w:r>
        <w:t xml:space="preserve">国内联播快讯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相关板块：低碳技术、碳市场、充电桩、电网设备、大飞机、应急装备</w:t>
      </w:r>
    </w:p>
    <w:p>
      <w:pPr>
        <w:numPr>
          <w:ilvl w:val="0"/>
          <w:numId w:val="1013"/>
        </w:numPr>
        <w:pStyle w:val="Compact"/>
      </w:pPr>
      <w:r>
        <w:t xml:space="preserve">核心解读：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单位GDP二氧化碳排放较2025年降低17%；充电基础设施总数2305.7万个、同比增长43.2%；C919高原型首架机完成首次飞行试验，形成低碳、电网充电和大飞机三条可验证产业线。汛期旅游安全要求则利好监测预警和应急装备。</w:t>
      </w:r>
    </w:p>
    <w:p>
      <w:pPr>
        <w:numPr>
          <w:ilvl w:val="0"/>
          <w:numId w:val="1013"/>
        </w:numPr>
        <w:pStyle w:val="Compact"/>
      </w:pPr>
      <w:r>
        <w:t xml:space="preserve">验证条件：电网设备延续14.61亿元主力净流入，大飞机与低碳方向出现成交放大；若仅消息刺激而资金不跟进，则不追涨。</w:t>
      </w:r>
    </w:p>
    <w:p>
      <w:pPr>
        <w:pStyle w:val="Heading4"/>
      </w:pPr>
      <w:bookmarkStart w:id="36" w:name="日本熊本县地震已致14人死亡"/>
      <w:r>
        <w:t xml:space="preserve">日本熊本县地震已致14人死亡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相关板块：日本供应链替代、应急装备；汽车零部件、电子材料供应链承压</w:t>
      </w:r>
    </w:p>
    <w:p>
      <w:pPr>
        <w:numPr>
          <w:ilvl w:val="0"/>
          <w:numId w:val="1014"/>
        </w:numPr>
        <w:pStyle w:val="Compact"/>
      </w:pPr>
      <w:r>
        <w:t xml:space="preserve">核心解读：地震已造成超过3.5万户停电、超过5.7万户停水、多家工厂停产、九州新干线停运，供应链扰动已从灾害事件延伸至生产与交通。</w:t>
      </w:r>
    </w:p>
    <w:p>
      <w:pPr>
        <w:numPr>
          <w:ilvl w:val="0"/>
          <w:numId w:val="1014"/>
        </w:numPr>
        <w:pStyle w:val="Compact"/>
      </w:pPr>
      <w:r>
        <w:t xml:space="preserve">验证条件：核查日本工厂停产清单及A股对应供应链关系；没有明确受损产能和替代订单时，禁止臆测受益公司。</w:t>
      </w:r>
    </w:p>
    <w:p>
      <w:pPr>
        <w:pStyle w:val="Heading4"/>
      </w:pPr>
      <w:bookmarkStart w:id="37" w:name="美称拦截伊朗多枚导弹-伊称打击约旦的美军基地"/>
      <w:r>
        <w:t xml:space="preserve">美称拦截伊朗多枚导弹 伊称打击约旦的美军基地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A股影响：偏利空</w:t>
      </w:r>
    </w:p>
    <w:p>
      <w:pPr>
        <w:numPr>
          <w:ilvl w:val="0"/>
          <w:numId w:val="1015"/>
        </w:numPr>
        <w:pStyle w:val="Compact"/>
      </w:pPr>
      <w:r>
        <w:t xml:space="preserve">相关板块：黄金、油气、军工；航空、物流、化工下游承压</w:t>
      </w:r>
    </w:p>
    <w:p>
      <w:pPr>
        <w:numPr>
          <w:ilvl w:val="0"/>
          <w:numId w:val="1015"/>
        </w:numPr>
        <w:pStyle w:val="Compact"/>
      </w:pPr>
      <w:r>
        <w:t xml:space="preserve">核心解读：美伊直接军事行动和核设施威胁升级，提高油价、通胀和风险偏好波动。黄金涨0.84%形成避险响应，但WTI原油当时跌0.48%，跨市场信号并不一致。</w:t>
      </w:r>
    </w:p>
    <w:p>
      <w:pPr>
        <w:numPr>
          <w:ilvl w:val="0"/>
          <w:numId w:val="1015"/>
        </w:numPr>
        <w:pStyle w:val="Compact"/>
      </w:pPr>
      <w:r>
        <w:t xml:space="preserve">验证条件：若黄金、油气和军工同步放量且油价转强，可强化事件映射；若原油继续回落、避险板块不跟涨，则不追事件高开。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重要公告"/>
      <w:r>
        <w:t xml:space="preserve">📋 今日重要公告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东方财富公告接口返回HTTP 567错误，</w:t>
      </w:r>
      <w:r>
        <w:rPr>
          <w:rStyle w:val="VerbatimChar"/>
        </w:rPr>
        <w:t xml:space="preserve">announcements.ok=false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📋 今日增减持、解禁、业绩预告或快报、停复牌、重组、关注函及监管问询均为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🚫 不把公告榜单缺失写成</w:t>
      </w:r>
      <w:r>
        <w:t xml:space="preserve">“</w:t>
      </w:r>
      <w:r>
        <w:t xml:space="preserve">今日无重大公告</w:t>
      </w:r>
      <w:r>
        <w:t xml:space="preserve">”</w:t>
      </w:r>
      <w:r>
        <w:t xml:space="preserve">。持仓与候选股交易前必须补查上交所、深交所或公司正式披露。</w:t>
      </w:r>
    </w:p>
    <w:p>
      <w:pPr>
        <w:numPr>
          <w:ilvl w:val="0"/>
          <w:numId w:val="1016"/>
        </w:numPr>
        <w:pStyle w:val="Compact"/>
      </w:pPr>
      <w:r>
        <w:t xml:space="preserve">💡 竞价出现异常跳空时，先核查临时公告，再决定是否执行预案。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经济数据与重要事件"/>
      <w:r>
        <w:t xml:space="preserve">📅 今日经济数据与重要事件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 采集JSON未提供今日国内CPI、PPI、PMI、GDP、社融、M2以及MLF、LPR、逆回购的确认日程，均记为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⚠️ 海外CPI、非农、美联储会议及重要会议的具体公布时间未获结构化数据确认，不编写虚构日程。</w:t>
      </w:r>
    </w:p>
    <w:p>
      <w:pPr>
        <w:numPr>
          <w:ilvl w:val="0"/>
          <w:numId w:val="1017"/>
        </w:numPr>
        <w:pStyle w:val="Compact"/>
      </w:pPr>
      <w:r>
        <w:t xml:space="preserve">🌐 华泰补充分析提示海外利率预期对高估值成长股构成压力；该信息未获本地结构化日程核验，只用于提醒观察债券收益率、A50及科技股联动。</w:t>
      </w:r>
    </w:p>
    <w:p>
      <w:pPr>
        <w:numPr>
          <w:ilvl w:val="0"/>
          <w:numId w:val="1017"/>
        </w:numPr>
        <w:pStyle w:val="Compact"/>
      </w:pPr>
      <w:r>
        <w:t xml:space="preserve">💡 盘中若出现宏观消息，至少等待人民币、A50期指和对应板块同步反应后再判断有效性。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全球重要事件"/>
      <w:r>
        <w:t xml:space="preserve">🌍 全球重要事件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美伊军事冲突升级</w:t>
      </w:r>
      <w:r>
        <w:t xml:space="preserve">：双方均披露导弹行动，美方再次威胁打击伊朗核设施。黄金涨0.84%，但原油跌0.48%，避险与能源信号尚未完全共振。</w:t>
      </w:r>
    </w:p>
    <w:p>
      <w:pPr>
        <w:numPr>
          <w:ilvl w:val="0"/>
          <w:numId w:val="1018"/>
        </w:numPr>
        <w:pStyle w:val="Compact"/>
      </w:pPr>
      <w:r>
        <w:t xml:space="preserve">🌏</w:t>
      </w:r>
      <w:r>
        <w:t xml:space="preserve"> </w:t>
      </w:r>
      <w:r>
        <w:rPr>
          <w:b/>
        </w:rPr>
        <w:t xml:space="preserve">日本熊本地震</w:t>
      </w:r>
      <w:r>
        <w:t xml:space="preserve">：已造成14人死亡、超过200人受伤，多家工厂停产和交通受阻。只在停产企业、产能缺口与A股替代关系确认后，才讨论供应链机会。</w:t>
      </w:r>
    </w:p>
    <w:p>
      <w:pPr>
        <w:numPr>
          <w:ilvl w:val="0"/>
          <w:numId w:val="1018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中国</w:t>
      </w:r>
      <w:r>
        <w:rPr>
          <w:b/>
        </w:rPr>
        <w:t xml:space="preserve">“</w:t>
      </w:r>
      <w:r>
        <w:rPr>
          <w:b/>
        </w:rPr>
        <w:t xml:space="preserve">新新三样</w:t>
      </w:r>
      <w:r>
        <w:rPr>
          <w:b/>
        </w:rPr>
        <w:t xml:space="preserve">”</w:t>
      </w:r>
      <w:r>
        <w:rPr>
          <w:b/>
        </w:rPr>
        <w:t xml:space="preserve">出口</w:t>
      </w:r>
      <w:r>
        <w:t xml:space="preserve">：AI、机器人和创新药获得具体出口及授权数据支撑，是今日最值得观察的产业催化之一。</w:t>
      </w:r>
    </w:p>
    <w:p>
      <w:pPr>
        <w:numPr>
          <w:ilvl w:val="0"/>
          <w:numId w:val="1018"/>
        </w:numPr>
        <w:pStyle w:val="Compact"/>
      </w:pPr>
      <w:r>
        <w:t xml:space="preserve">🌱</w:t>
      </w:r>
      <w:r>
        <w:t xml:space="preserve"> </w:t>
      </w:r>
      <w:r>
        <w:rPr>
          <w:b/>
        </w:rPr>
        <w:t xml:space="preserve">中斯产业合作</w:t>
      </w:r>
      <w:r>
        <w:t xml:space="preserve">：新能源汽车、AI和互联互通被明确提及，利好长期出海预期，但仍需项目和订单落地。</w:t>
      </w:r>
    </w:p>
    <w:p>
      <w:pPr>
        <w:numPr>
          <w:ilvl w:val="0"/>
          <w:numId w:val="1018"/>
        </w:numPr>
        <w:pStyle w:val="Compact"/>
      </w:pPr>
      <w:r>
        <w:t xml:space="preserve">🚫 加密货币、海外科技巨头发布、国际选举和新增制裁事项没有确认信息，不作扩写。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昨日复盘要点"/>
      <w:r>
        <w:t xml:space="preserve">📊 昨日复盘要点</w:t>
      </w:r>
      <w:bookmarkEnd w:id="41"/>
    </w:p>
    <w:p>
      <w:pPr>
        <w:pStyle w:val="Heading3"/>
      </w:pPr>
      <w:bookmarkStart w:id="42" w:name="指数宽度与量能"/>
      <w:r>
        <w:t xml:space="preserve">📈 指数、宽度与量能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上证指数3828.469点，涨0.3974%；深证成指13658.443点，涨1.1012%；创业板指3378.696点，涨1.5529%。</w:t>
      </w:r>
    </w:p>
    <w:p>
      <w:pPr>
        <w:numPr>
          <w:ilvl w:val="0"/>
          <w:numId w:val="1019"/>
        </w:numPr>
        <w:pStyle w:val="Compact"/>
      </w:pPr>
      <w:r>
        <w:t xml:space="preserve">科创50为1678.7376点，跌0.8705%；沪深300为4600.2624点，涨0.6727%。</w:t>
      </w:r>
    </w:p>
    <w:p>
      <w:pPr>
        <w:numPr>
          <w:ilvl w:val="0"/>
          <w:numId w:val="1019"/>
        </w:numPr>
        <w:pStyle w:val="Compact"/>
      </w:pPr>
      <w:r>
        <w:t xml:space="preserve">同花顺单源显示上涨4253家、下跌1215家，涨停86家、跌停9家，赚钱效应偏强。</w:t>
      </w:r>
    </w:p>
    <w:p>
      <w:pPr>
        <w:numPr>
          <w:ilvl w:val="0"/>
          <w:numId w:val="1019"/>
        </w:numPr>
        <w:pStyle w:val="Compact"/>
      </w:pPr>
      <w:r>
        <w:t xml:space="preserve">全市场成交额23117.16亿元为同花顺单源确认；此前金额20391.21亿元，但比较口径未核验，不据此计算变化百分比。</w:t>
      </w:r>
    </w:p>
    <w:p>
      <w:pPr>
        <w:pStyle w:val="Heading3"/>
      </w:pPr>
      <w:bookmarkStart w:id="43" w:name="昨日资金流入top10"/>
      <w:r>
        <w:t xml:space="preserve">💰 昨日资金流入TOP10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被动元件：主力净流入25.94亿元，板块涨2.11%，风华高科涨10.00%。</w:t>
      </w:r>
    </w:p>
    <w:p>
      <w:pPr>
        <w:numPr>
          <w:ilvl w:val="0"/>
          <w:numId w:val="1020"/>
        </w:numPr>
        <w:pStyle w:val="Compact"/>
      </w:pPr>
      <w:r>
        <w:t xml:space="preserve">食品饮料：主力净流入17.79亿元，板块涨3.75%，一鸣食品涨10.03%。</w:t>
      </w:r>
    </w:p>
    <w:p>
      <w:pPr>
        <w:numPr>
          <w:ilvl w:val="0"/>
          <w:numId w:val="1020"/>
        </w:numPr>
        <w:pStyle w:val="Compact"/>
      </w:pPr>
      <w:r>
        <w:t xml:space="preserve">游戏Ⅲ：主力净流入16.63亿元，板块涨4.49%，巨人网络涨9.99%。</w:t>
      </w:r>
    </w:p>
    <w:p>
      <w:pPr>
        <w:numPr>
          <w:ilvl w:val="0"/>
          <w:numId w:val="1020"/>
        </w:numPr>
        <w:pStyle w:val="Compact"/>
      </w:pPr>
      <w:r>
        <w:t xml:space="preserve">游戏Ⅱ：主力净流入16.63亿元，板块涨4.49%，巨人网络涨9.99%。</w:t>
      </w:r>
    </w:p>
    <w:p>
      <w:pPr>
        <w:numPr>
          <w:ilvl w:val="0"/>
          <w:numId w:val="1020"/>
        </w:numPr>
        <w:pStyle w:val="Compact"/>
      </w:pPr>
      <w:r>
        <w:t xml:space="preserve">证券Ⅲ：主力净流入15.20亿元，板块涨2.31%，华林证券涨10.03%。</w:t>
      </w:r>
    </w:p>
    <w:p>
      <w:pPr>
        <w:numPr>
          <w:ilvl w:val="0"/>
          <w:numId w:val="1020"/>
        </w:numPr>
        <w:pStyle w:val="Compact"/>
      </w:pPr>
      <w:r>
        <w:t xml:space="preserve">证券Ⅱ：主力净流入15.20亿元，板块涨2.31%，华林证券涨10.03%。</w:t>
      </w:r>
    </w:p>
    <w:p>
      <w:pPr>
        <w:numPr>
          <w:ilvl w:val="0"/>
          <w:numId w:val="1020"/>
        </w:numPr>
        <w:pStyle w:val="Compact"/>
      </w:pPr>
      <w:r>
        <w:t xml:space="preserve">数字芯片设计：主力净流入15.15亿元，板块涨0.50%，普冉股份涨9.20%。</w:t>
      </w:r>
    </w:p>
    <w:p>
      <w:pPr>
        <w:numPr>
          <w:ilvl w:val="0"/>
          <w:numId w:val="1020"/>
        </w:numPr>
        <w:pStyle w:val="Compact"/>
      </w:pPr>
      <w:r>
        <w:t xml:space="preserve">传媒：主力净流入14.92亿元，板块涨2.43%，欢瑞世纪涨10.03%。</w:t>
      </w:r>
    </w:p>
    <w:p>
      <w:pPr>
        <w:numPr>
          <w:ilvl w:val="0"/>
          <w:numId w:val="1020"/>
        </w:numPr>
        <w:pStyle w:val="Compact"/>
      </w:pPr>
      <w:r>
        <w:t xml:space="preserve">电网设备：主力净流入14.61亿元，板块涨2.25%，中电鑫龙涨10.04%。</w:t>
      </w:r>
    </w:p>
    <w:p>
      <w:pPr>
        <w:numPr>
          <w:ilvl w:val="0"/>
          <w:numId w:val="1020"/>
        </w:numPr>
        <w:pStyle w:val="Compact"/>
      </w:pPr>
      <w:r>
        <w:t xml:space="preserve">非银金融：主力净流入12.74亿元，板块涨2.20%，华林证券涨10.03%。</w:t>
      </w:r>
    </w:p>
    <w:p>
      <w:pPr>
        <w:pStyle w:val="BlockText"/>
      </w:pPr>
      <w:r>
        <w:t xml:space="preserve">注：游戏、证券存在行业层级重复，以上严格按采集JSON原始TOP10顺序列示，不合并或改写金额。</w:t>
      </w:r>
    </w:p>
    <w:p>
      <w:pPr>
        <w:pStyle w:val="Heading3"/>
      </w:pPr>
      <w:bookmarkStart w:id="44" w:name="昨日资金流出top10"/>
      <w:r>
        <w:t xml:space="preserve">⚠️ 昨日资金流出TOP10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电子：主力净流出64.40亿元，板块跌0.33%。</w:t>
      </w:r>
    </w:p>
    <w:p>
      <w:pPr>
        <w:numPr>
          <w:ilvl w:val="0"/>
          <w:numId w:val="1021"/>
        </w:numPr>
        <w:pStyle w:val="Compact"/>
      </w:pPr>
      <w:r>
        <w:t xml:space="preserve">半导体：主力净流出53.37亿元，板块跌0.86%。</w:t>
      </w:r>
    </w:p>
    <w:p>
      <w:pPr>
        <w:numPr>
          <w:ilvl w:val="0"/>
          <w:numId w:val="1021"/>
        </w:numPr>
        <w:pStyle w:val="Compact"/>
      </w:pPr>
      <w:r>
        <w:t xml:space="preserve">计算机：主力净流出49.13亿元，板块涨0.81%。</w:t>
      </w:r>
    </w:p>
    <w:p>
      <w:pPr>
        <w:numPr>
          <w:ilvl w:val="0"/>
          <w:numId w:val="1021"/>
        </w:numPr>
        <w:pStyle w:val="Compact"/>
      </w:pPr>
      <w:r>
        <w:t xml:space="preserve">IT服务Ⅱ：主力净流出38.36亿元，板块涨0.12%。</w:t>
      </w:r>
    </w:p>
    <w:p>
      <w:pPr>
        <w:numPr>
          <w:ilvl w:val="0"/>
          <w:numId w:val="1021"/>
        </w:numPr>
        <w:pStyle w:val="Compact"/>
      </w:pPr>
      <w:r>
        <w:t xml:space="preserve">IT服务Ⅲ：主力净流出38.36亿元，板块涨0.12%。</w:t>
      </w:r>
    </w:p>
    <w:p>
      <w:pPr>
        <w:numPr>
          <w:ilvl w:val="0"/>
          <w:numId w:val="1021"/>
        </w:numPr>
        <w:pStyle w:val="Compact"/>
      </w:pPr>
      <w:r>
        <w:t xml:space="preserve">集成电路封测：主力净流出27.84亿元，板块跌3.28%。</w:t>
      </w:r>
    </w:p>
    <w:p>
      <w:pPr>
        <w:numPr>
          <w:ilvl w:val="0"/>
          <w:numId w:val="1021"/>
        </w:numPr>
        <w:pStyle w:val="Compact"/>
      </w:pPr>
      <w:r>
        <w:t xml:space="preserve">机械设备：主力净流出24.82亿元，板块涨0.94%。</w:t>
      </w:r>
    </w:p>
    <w:p>
      <w:pPr>
        <w:numPr>
          <w:ilvl w:val="0"/>
          <w:numId w:val="1021"/>
        </w:numPr>
        <w:pStyle w:val="Compact"/>
      </w:pPr>
      <w:r>
        <w:t xml:space="preserve">银行Ⅱ：主力净流出18.74亿元，板块涨0.70%。</w:t>
      </w:r>
    </w:p>
    <w:p>
      <w:pPr>
        <w:numPr>
          <w:ilvl w:val="0"/>
          <w:numId w:val="1021"/>
        </w:numPr>
        <w:pStyle w:val="Compact"/>
      </w:pPr>
      <w:r>
        <w:t xml:space="preserve">银行：主力净流出18.74亿元，板块涨0.70%。</w:t>
      </w:r>
    </w:p>
    <w:p>
      <w:pPr>
        <w:numPr>
          <w:ilvl w:val="0"/>
          <w:numId w:val="1021"/>
        </w:numPr>
        <w:pStyle w:val="Compact"/>
      </w:pPr>
      <w:r>
        <w:t xml:space="preserve">集成电路制造：主力净流出17.68亿元，板块跌1.16%。</w:t>
      </w:r>
    </w:p>
    <w:p>
      <w:pPr>
        <w:pStyle w:val="Heading3"/>
      </w:pPr>
      <w:bookmarkStart w:id="45" w:name="核心盘面特征"/>
      <w:r>
        <w:t xml:space="preserve">🔥 核心盘面特征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📈 被动元件实现25.94亿元净流入，风华高科涨停、三环集团涨7.99%并净流入8.01亿元，板块、资金和核心股形成共振。</w:t>
      </w:r>
    </w:p>
    <w:p>
      <w:pPr>
        <w:numPr>
          <w:ilvl w:val="0"/>
          <w:numId w:val="1022"/>
        </w:numPr>
        <w:pStyle w:val="Compact"/>
      </w:pPr>
      <w:r>
        <w:t xml:space="preserve">🎮 游戏板块涨4.49%、净流入16.63亿元，巨人网络涨9.99%并净流入6.12亿元，属于资金与龙头同步的强势方向。</w:t>
      </w:r>
    </w:p>
    <w:p>
      <w:pPr>
        <w:numPr>
          <w:ilvl w:val="0"/>
          <w:numId w:val="1022"/>
        </w:numPr>
        <w:pStyle w:val="Compact"/>
      </w:pPr>
      <w:r>
        <w:t xml:space="preserve">⚠️ 科技内部明显分化：中际旭创、新易盛分别涨4.74%、3.51%，但电子、半导体、计算机合计仍大额净流出；紫光股份、通富微电均跌10.00%。</w:t>
      </w:r>
    </w:p>
    <w:p>
      <w:pPr>
        <w:numPr>
          <w:ilvl w:val="0"/>
          <w:numId w:val="1022"/>
        </w:numPr>
        <w:pStyle w:val="Compact"/>
      </w:pPr>
      <w:r>
        <w:t xml:space="preserve">📉 科创50逆势跌0.8705%，说明高位半导体和硬件抛压没有完全结束，今日不能把少数核心股上涨外推为科技全面反转。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操作策略"/>
      <w:r>
        <w:t xml:space="preserve">🎯 今日操作策略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市场预判：震荡偏强、结构轮动，开盘可能先受A50下跌扰动。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激进型：仓位上限80%</w:t>
      </w:r>
      <w:r>
        <w:t xml:space="preserve">。开盘首轮只部署50%-60%，仅参与被动元件、游戏或电网设备中资金延续且不高开兑现的核心股；确认后再提高仓位。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均衡型：仓位上限65%</w:t>
      </w:r>
      <w:r>
        <w:t xml:space="preserve">。首轮控制在40%-50%，优先主线分歧低吸，保留资金应对午前轮动。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保守型：仓位上限50%</w:t>
      </w:r>
      <w:r>
        <w:t xml:space="preserve">。首轮控制在20%-30%，等待A50压力消化、上证守住昨日收盘和科创50止跌。</w:t>
      </w:r>
    </w:p>
    <w:p>
      <w:pPr>
        <w:numPr>
          <w:ilvl w:val="0"/>
          <w:numId w:val="1023"/>
        </w:numPr>
        <w:pStyle w:val="Compact"/>
      </w:pPr>
      <w:r>
        <w:t xml:space="preserve">🔥 盘前核心观察股：风华高科、三环集团、巨人网络、中际旭创、新易盛；均为观察标的，不等于竞价直接买入。</w:t>
      </w:r>
    </w:p>
    <w:p>
      <w:pPr>
        <w:numPr>
          <w:ilvl w:val="0"/>
          <w:numId w:val="1023"/>
        </w:numPr>
        <w:pStyle w:val="Compact"/>
      </w:pPr>
      <w:r>
        <w:t xml:space="preserve">🚫 不追高C长鑫等高波动次新，也不对紫光股份、通富微电、长电科技等昨日大额流出标的进行无条件抄底。</w:t>
      </w:r>
    </w:p>
    <w:p>
      <w:pPr>
        <w:numPr>
          <w:ilvl w:val="0"/>
          <w:numId w:val="1023"/>
        </w:numPr>
        <w:pStyle w:val="Compact"/>
      </w:pPr>
      <w:r>
        <w:t xml:space="preserve">⚠️ 若上证跌破3782.4811点昨日低点后不能收回，或被动元件、游戏同步由净流入转净流出，仓位应降至各模型首轮区间下沿。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今日重点投资方向"/>
      <w:r>
        <w:t xml:space="preserve">🎯 今日重点投资方向</w:t>
      </w:r>
      <w:bookmarkEnd w:id="47"/>
    </w:p>
    <w:p>
      <w:pPr>
        <w:pStyle w:val="Heading3"/>
      </w:pPr>
      <w:bookmarkStart w:id="48" w:name="方向一mlcc被动元件陶瓷材料优先级高"/>
      <w:r>
        <w:t xml:space="preserve">方向一：MLCC被动元件—陶瓷材料（优先级：高）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：被动元件涨2.11%、成交311.83亿元、主力净流入25.94亿元；风华高科涨10.00%且个股净流入18.38亿元；三环集团涨7.99%、成交100.79亿元、净流入8.01亿元；国瓷材料涨4.79%、净流入4.34亿元。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：风华高科（板块涨停龙头与最大资金核心）；三环集团（高成交、资金与涨幅共振）；国瓷材料（陶瓷材料分支补涨）；普冉股份仅作为芯片设计联动观察。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：激进者等待风华高科换手不炸、三环集团分歧承接；稳健者优先看三环集团或国瓷材料回踩后不破开盘价；保守者等待板块二次放量确认，不追一致性高开。</w:t>
      </w:r>
    </w:p>
    <w:p>
      <w:pPr>
        <w:numPr>
          <w:ilvl w:val="0"/>
          <w:numId w:val="102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：被动元件继续净流入，风华高科不出现放量开板回落，三环集团和国瓷材料至少一只强于板块。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：板块由净流入转净流出，风华高科跌破开盘价且三环集团同步走弱。</w:t>
      </w:r>
    </w:p>
    <w:p>
      <w:pPr>
        <w:numPr>
          <w:ilvl w:val="0"/>
          <w:numId w:val="102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：昨日已有明显加速，若资金借涨价预期兑现，追高容易承受日内回撤。</w:t>
      </w:r>
    </w:p>
    <w:p>
      <w:pPr>
        <w:pStyle w:val="Heading3"/>
      </w:pPr>
      <w:bookmarkStart w:id="49" w:name="方向二游戏传媒内容优先级中"/>
      <w:r>
        <w:t xml:space="preserve">方向二：游戏—传媒内容（优先级：中）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：游戏涨4.49%、成交166.11亿元、主力净流入16.63亿元；巨人网络涨9.99%、个股净流入6.12亿元；传媒涨2.43%、成交424.19亿元、净流入14.92亿元，欢瑞世纪涨10.03%。</w:t>
      </w:r>
    </w:p>
    <w:p>
      <w:pPr>
        <w:numPr>
          <w:ilvl w:val="0"/>
          <w:numId w:val="102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：巨人网络（游戏资金与涨停辨识度核心）；欢瑞世纪（传媒涨幅龙头）；风语筑仅为弱势跟踪样本，昨日跌0.83%，未与板块共振。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：激进者只做巨人网络换手后的强承接；稳健者等待游戏与传媒同时红盘并维持净流入；保守者不参与高开内容小票。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：巨人网络不炸板式回落，传媒与游戏至少一个方向继续放量净流入，板块出现多股联动。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：巨人网络跌破开盘价、传媒转为净流出，或强势股仅剩单票维持。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：内容题材轮动速度快，若缺乏新产品或业绩催化，容易出现一日游。</w:t>
      </w:r>
    </w:p>
    <w:p>
      <w:pPr>
        <w:pStyle w:val="Heading3"/>
      </w:pPr>
      <w:bookmarkStart w:id="50" w:name="方向三ai算力出口光模块液冷优先级观察"/>
      <w:r>
        <w:t xml:space="preserve">方向三：AI算力出口—光模块/液冷（优先级：观察）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新闻联播明确提到光纤、光模块、服务器和液冷产品贡献出口增量；中际旭创涨4.74%、成交435.10亿元、净流入18.07亿元；新易盛涨3.51%、成交269.15亿元、净流入8.79亿元。但通信净流出13.53亿元、通信设备净流出11.66亿元，板块证据存在分歧。</w:t>
      </w:r>
    </w:p>
    <w:p>
      <w:pPr>
        <w:numPr>
          <w:ilvl w:val="0"/>
          <w:numId w:val="102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：中际旭创（成交与资金核心）；新易盛（光模块高辨识度）；寒武纪（涨1.68%，仅观察算力情绪）；紫光股份因跌10.00%、净流出22.51亿元列为风险锚，不作为追涨标的。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：激进者也只做回踩承接，不追高开；稳健者等待通信板块资金转正；保守者继续观察，暂不把个股修复升级为板块主线。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：中际旭创、新易盛不跌破开盘价，通信或通信设备由净流出转净流入，科技成交核心不再扩大跌幅。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：通信继续大额流出，中际旭创或新易盛冲高回落，紫光股份、通富微电等风险锚继续跌停式扩散。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：高估值、海外利率与供应链扰动叠加，个股强势与板块弱势的背离可能通过补跌收敛。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华泰自选股观察"/>
      <w:r>
        <w:t xml:space="preserve">🧾 华泰自选股观察</w:t>
      </w:r>
      <w:bookmarkEnd w:id="51"/>
    </w:p>
    <w:p>
      <w:pPr>
        <w:pStyle w:val="FirstParagraph"/>
      </w:pPr>
      <w:r>
        <w:t xml:space="preserve">华泰自选股共3只，行情全部成功获取。弘元绿能受益于电力设备和光伏修复线索，但尚非今日资金最强主线；风语筑明显落后于传媒；工商银行具备防御属性，但银行资金转为流出。三只均需按条件跟踪，不宜强行拔高。</w:t>
      </w:r>
    </w:p>
    <w:p>
      <w:pPr>
        <w:numPr>
          <w:ilvl w:val="0"/>
          <w:numId w:val="1027"/>
        </w:numPr>
        <w:pStyle w:val="Compact"/>
      </w:pPr>
      <w:r>
        <w:rPr>
          <w:b/>
        </w:rPr>
        <w:t xml:space="preserve">603185 弘元绿能</w:t>
      </w:r>
      <w:r>
        <w:t xml:space="preserve">：最新可得价13.97元，较前收13.67元涨2.19%，属于光伏硅片/设备方向。电力设备涨1.92%、净流入5.36亿元，存在温和板块共振；但强度低于被动元件、游戏和电网设备。判断：</w:t>
      </w:r>
      <w:r>
        <w:rPr>
          <w:b/>
        </w:rPr>
        <w:t xml:space="preserve">继续观察、可低吸跟踪，不追高；只有光伏资金继续回流且股价站稳13.97元，才提高优先级。</w:t>
      </w:r>
    </w:p>
    <w:p>
      <w:pPr>
        <w:numPr>
          <w:ilvl w:val="0"/>
          <w:numId w:val="1027"/>
        </w:numPr>
        <w:pStyle w:val="Compact"/>
      </w:pPr>
      <w:r>
        <w:rPr>
          <w:b/>
        </w:rPr>
        <w:t xml:space="preserve">603466 风语筑</w:t>
      </w:r>
      <w:r>
        <w:t xml:space="preserve">：最新可得价9.56元，较前收9.64元跌0.83%，属于数字文化展示和传媒方向。传媒涨2.43%、净流入14.92亿元，但个股逆势下跌，未与主线共振。判断：</w:t>
      </w:r>
      <w:r>
        <w:rPr>
          <w:b/>
        </w:rPr>
        <w:t xml:space="preserve">偏弱，以跟踪为主、暂不作为主攻方向；收复9.64元并强于传媒板块后再评估。</w:t>
      </w:r>
    </w:p>
    <w:p>
      <w:pPr>
        <w:numPr>
          <w:ilvl w:val="0"/>
          <w:numId w:val="1027"/>
        </w:numPr>
        <w:pStyle w:val="Compact"/>
      </w:pPr>
      <w:r>
        <w:rPr>
          <w:b/>
        </w:rPr>
        <w:t xml:space="preserve">601398 工商银行</w:t>
      </w:r>
      <w:r>
        <w:t xml:space="preserve">：最新可得价7.95元，较前收7.97元跌0.25%，属于国有大行和高股息方向。银行板块涨0.70%，但主力净流出18.74亿元，价格与资金未形成强共振。判断：</w:t>
      </w:r>
      <w:r>
        <w:rPr>
          <w:b/>
        </w:rPr>
        <w:t xml:space="preserve">稳健持有观察、不追高；若跌破7.95元并伴随银行继续流出，应保护利润。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用户实盘持仓策略"/>
      <w:r>
        <w:t xml:space="preserve">💼 用户实盘持仓策略</w:t>
      </w:r>
      <w:bookmarkEnd w:id="52"/>
    </w:p>
    <w:p>
      <w:pPr>
        <w:pStyle w:val="Heading3"/>
      </w:pPr>
      <w:bookmarkStart w:id="53" w:name="弘元绿能反弹减仓观察满足条件才加仓"/>
      <w:r>
        <w:t xml:space="preserve">📉 603185 弘元绿能：反弹减仓观察，满足条件才加仓</w:t>
      </w:r>
      <w:bookmarkEnd w:id="53"/>
    </w:p>
    <w:p>
      <w:pPr>
        <w:numPr>
          <w:ilvl w:val="0"/>
          <w:numId w:val="1028"/>
        </w:numPr>
        <w:pStyle w:val="Compact"/>
      </w:pPr>
      <w:r>
        <w:t xml:space="preserve">📊 持仓300股，成本26.6669元，最新可得价13.97元；当前浮亏47.61%，按现价计算浮亏3809.07元。</w:t>
      </w:r>
    </w:p>
    <w:p>
      <w:pPr>
        <w:numPr>
          <w:ilvl w:val="0"/>
          <w:numId w:val="1028"/>
        </w:numPr>
        <w:pStyle w:val="Compact"/>
      </w:pPr>
      <w:r>
        <w:t xml:space="preserve">📈 股价较前收13.67元涨2.19%；电力设备板块涨1.92%、净流入5.36亿元，环境较前一阶段改善，但尚无日K趋势、成交量和明确支撑阻力的完整数据。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今日动作：反弹减仓观察，不建议无条件补仓摊薄成本。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：开盘跌破13.67元后反抽不能收回，或电力设备由净流入转为明显净流出，可分批减仓；若接近12.30元跌停参考价，执行风险优先而非等待回本。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：股价站稳13.97元、光伏/电力设备继续净流入、且回踩不破开盘价时，才允许小仓跟踪加仓。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：修复表现为缩量冲高回落，或板块上涨而个股重新跌回13.67元下方。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：亏损较深但成本价不是继续持有的理由；行业竞争格局改善线索尚需价格、订单和资金持续验证。</w:t>
      </w:r>
    </w:p>
    <w:p>
      <w:pPr>
        <w:pStyle w:val="Heading3"/>
      </w:pPr>
      <w:bookmarkStart w:id="54" w:name="风语筑最需减仓观察"/>
      <w:r>
        <w:t xml:space="preserve">📉 603466 风语筑：最需减仓观察</w:t>
      </w:r>
      <w:bookmarkEnd w:id="54"/>
    </w:p>
    <w:p>
      <w:pPr>
        <w:numPr>
          <w:ilvl w:val="0"/>
          <w:numId w:val="1029"/>
        </w:numPr>
        <w:pStyle w:val="Compact"/>
      </w:pPr>
      <w:r>
        <w:t xml:space="preserve">📊 持仓700股，成本13.2159元，最新可得价9.56元；当前浮亏27.66%，按现价计算浮亏2559.13元。</w:t>
      </w:r>
    </w:p>
    <w:p>
      <w:pPr>
        <w:numPr>
          <w:ilvl w:val="0"/>
          <w:numId w:val="1029"/>
        </w:numPr>
        <w:pStyle w:val="Compact"/>
      </w:pPr>
      <w:r>
        <w:t xml:space="preserve">📉 传媒板块涨2.43%、净流入14.92亿元，而风语筑跌0.83%，个股明显弱于板块；其他数字媒体分支亦跌1.82%，内部强弱不一。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今日动作：反弹择机减仓；若传媒继续强而个股仍不跟涨，优先降低仓位。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：股价持续低于9.56元且反抽不能收复9.64元，或传媒板块转弱、个股继续弱于板块；若接近8.68元跌停参考价，应执行风险控制。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：重新站稳9.64元、成交明显改善、传媒继续净流入且个股强于板块后，才考虑小仓加仓。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：站上9.64元后快速回落，或板块上涨但个股继续收阴。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：板块强势不代表落后个股必然补涨，禁止因浮亏27.66%而机械摊薄。</w:t>
      </w:r>
    </w:p>
    <w:p>
      <w:pPr>
        <w:pStyle w:val="Heading3"/>
      </w:pPr>
      <w:bookmarkStart w:id="55" w:name="工商银行稳健持有保护利润"/>
      <w:r>
        <w:t xml:space="preserve">📈 601398 工商银行：稳健持有，保护利润</w:t>
      </w:r>
      <w:bookmarkEnd w:id="55"/>
    </w:p>
    <w:p>
      <w:pPr>
        <w:numPr>
          <w:ilvl w:val="0"/>
          <w:numId w:val="1030"/>
        </w:numPr>
        <w:pStyle w:val="Compact"/>
      </w:pPr>
      <w:r>
        <w:t xml:space="preserve">📊 持仓1900股，成本7.0601元，最新可得价7.95元；当前浮盈12.60%，按现价计算浮盈1690.81元。</w:t>
      </w:r>
    </w:p>
    <w:p>
      <w:pPr>
        <w:numPr>
          <w:ilvl w:val="0"/>
          <w:numId w:val="1030"/>
        </w:numPr>
        <w:pStyle w:val="Compact"/>
      </w:pPr>
      <w:r>
        <w:t xml:space="preserve">📉 股价较前收7.97元跌0.25%；银行板块涨0.70%但主力净流出18.74亿元，防御属性仍在，资金强度较昨日转弱。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今日动作：继续持有，以保护利润为主；不在银行资金流出时追高加仓。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：跌破7.95元后不能快速收回，且银行继续净流出或上证失守昨日低点3782.4811点，可分批止盈。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：重新站稳7.97元、银行由净流出转净流入、农业银行等国有大行同步走强时，才考虑小仓加仓。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：银行由防御承接转为补跌，工商银行跌破开盘价并持续弱于板块。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：成长方向修复可能造成高股息资金轮出；利润仓应避免从盈利被动转为深度回撤。</w:t>
      </w:r>
    </w:p>
    <w:p>
      <w:pPr>
        <w:pStyle w:val="Heading3"/>
      </w:pPr>
      <w:bookmarkStart w:id="56" w:name="农业银行价格未核验条件式持有"/>
      <w:r>
        <w:t xml:space="preserve">🛡️ 601288 农业银行：价格未核验，条件式持有</w:t>
      </w:r>
      <w:bookmarkEnd w:id="56"/>
    </w:p>
    <w:p>
      <w:pPr>
        <w:numPr>
          <w:ilvl w:val="0"/>
          <w:numId w:val="1031"/>
        </w:numPr>
        <w:pStyle w:val="Compact"/>
      </w:pPr>
      <w:r>
        <w:t xml:space="preserve">📊 持仓5300股，成本6.4244元；本次采集JSON没有农业银行最新行情，</w:t>
      </w:r>
      <w:r>
        <w:rPr>
          <w:b/>
        </w:rPr>
        <w:t xml:space="preserve">当前价格、盈亏幅度、量价趋势及具体支撑阻力均未核验</w:t>
      </w:r>
      <w:r>
        <w:t xml:space="preserve">，不沿用或虚构价位。</w:t>
      </w:r>
    </w:p>
    <w:p>
      <w:pPr>
        <w:numPr>
          <w:ilvl w:val="0"/>
          <w:numId w:val="1031"/>
        </w:numPr>
        <w:pStyle w:val="Compact"/>
      </w:pPr>
      <w:r>
        <w:t xml:space="preserve">📉 银行板块昨日涨0.70%，但主力净流出18.74亿元，板块环境由强防御转为资金分歧。</w:t>
      </w:r>
    </w:p>
    <w:p>
      <w:pPr>
        <w:numPr>
          <w:ilvl w:val="0"/>
          <w:numId w:val="103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今日动作：条件式持有，不在价格未核验时加仓；先取得实时行情并观察国有大行联动。</w:t>
      </w:r>
    </w:p>
    <w:p>
      <w:pPr>
        <w:numPr>
          <w:ilvl w:val="0"/>
          <w:numId w:val="103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：确认实时价格后，若跌破当日开盘价且反抽失败，同时工商银行与银行指数同步转弱，可分批保护利润或降低风险。</w:t>
      </w:r>
    </w:p>
    <w:p>
      <w:pPr>
        <w:numPr>
          <w:ilvl w:val="0"/>
          <w:numId w:val="103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：仅在实时价格确认、股价站稳当日开盘价、银行板块转为净流入且国有大行同步走强时，才考虑小仓加仓。</w:t>
      </w:r>
    </w:p>
    <w:p>
      <w:pPr>
        <w:numPr>
          <w:ilvl w:val="0"/>
          <w:numId w:val="103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：银行高开低走、主力流出扩大，或个股相对板块由强转弱。</w:t>
      </w:r>
    </w:p>
    <w:p>
      <w:pPr>
        <w:numPr>
          <w:ilvl w:val="0"/>
          <w:numId w:val="103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：缺失个股实时行情和公告信息，任何具体盈亏或价位建议都可能误导；交易前必须先核验券商行情与正式公告。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7" w:name="今日风险清单"/>
      <w:r>
        <w:t xml:space="preserve">⚠️ 今日风险清单</w:t>
      </w:r>
      <w:bookmarkEnd w:id="57"/>
    </w:p>
    <w:p>
      <w:pPr>
        <w:numPr>
          <w:ilvl w:val="0"/>
          <w:numId w:val="1032"/>
        </w:numPr>
        <w:pStyle w:val="Compact"/>
      </w:pPr>
      <w:r>
        <w:t xml:space="preserve">📉 A50期指跌0.53%，开盘可能对昨日偏强情绪形成扰动。</w:t>
      </w:r>
    </w:p>
    <w:p>
      <w:pPr>
        <w:numPr>
          <w:ilvl w:val="0"/>
          <w:numId w:val="1032"/>
        </w:numPr>
        <w:pStyle w:val="Compact"/>
      </w:pPr>
      <w:r>
        <w:t xml:space="preserve">⚠️ 电子净流出64.40亿元、半导体净流出53.37亿元、计算机净流出49.13亿元，高位科技尚未完成全面止跌。</w:t>
      </w:r>
    </w:p>
    <w:p>
      <w:pPr>
        <w:numPr>
          <w:ilvl w:val="0"/>
          <w:numId w:val="1032"/>
        </w:numPr>
        <w:pStyle w:val="Compact"/>
      </w:pPr>
      <w:r>
        <w:t xml:space="preserve">🔴 美伊军事行动升级，日本熊本地震造成工厂停产，地缘与供应链风险同时上升。</w:t>
      </w:r>
    </w:p>
    <w:p>
      <w:pPr>
        <w:numPr>
          <w:ilvl w:val="0"/>
          <w:numId w:val="1032"/>
        </w:numPr>
        <w:pStyle w:val="Compact"/>
      </w:pPr>
      <w:r>
        <w:t xml:space="preserve">🚫 涨跌停样本源缺失，连板高度和完整涨停扩散情况未核验；公告源亦失败，个股交易前必须补查正式披露。</w:t>
      </w:r>
    </w:p>
    <w:p>
      <w:pPr>
        <w:numPr>
          <w:ilvl w:val="0"/>
          <w:numId w:val="1032"/>
        </w:numPr>
        <w:pStyle w:val="Compact"/>
      </w:pPr>
      <w:r>
        <w:t xml:space="preserve">📊 全市场成交额23117.16亿元可用，但比较口径未核验，不使用变化百分比作为仓位证据。</w:t>
      </w:r>
    </w:p>
    <w:p>
      <w:pPr>
        <w:numPr>
          <w:ilvl w:val="0"/>
          <w:numId w:val="1032"/>
        </w:numPr>
        <w:pStyle w:val="Compact"/>
      </w:pPr>
      <w:r>
        <w:t xml:space="preserve">💡 今日优先顺序：处理风语筑和弘元绿能风险 &gt; 保护银行利润 &gt; 等待主线资金确认 &gt; 再考虑新增仓位。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生成时间：2026-07-30 08:30（北京时间，Asia/Shanghai）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2026-07-30T00:37:41Z</dcterms:created>
  <dcterms:modified xsi:type="dcterms:W3CDTF">2026-07-30T00:37:41Z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