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全天复盘-2026-07-21周二"/>
      <w:r>
        <w:t xml:space="preserve">🕑 全天复盘 | 2026-07-21（周二）</w:t>
      </w:r>
      <w:bookmarkEnd w:id="20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全天行情概览"/>
      <w:r>
        <w:t xml:space="preserve">📊 全天行情概览</w:t>
      </w:r>
      <w:bookmarkEnd w:id="21"/>
    </w:p>
    <w:p>
      <w:pPr>
        <w:numPr>
          <w:ilvl w:val="0"/>
          <w:numId w:val="1001"/>
        </w:numPr>
        <w:pStyle w:val="Compact"/>
      </w:pPr>
      <w:r>
        <w:t xml:space="preserve">📈🔴 上证指数报3864.3671点，涨1.7935%；深证成指报14264.291点，涨4.8056%；创业板指报3685.969点，涨7.0537%。科创50报1903.1613点，涨10.7333%，沪深300报4739.2287点，涨3.0643%。</w:t>
      </w:r>
    </w:p>
    <w:p>
      <w:pPr>
        <w:numPr>
          <w:ilvl w:val="0"/>
          <w:numId w:val="1001"/>
        </w:numPr>
        <w:pStyle w:val="Compact"/>
      </w:pPr>
      <w:r>
        <w:t xml:space="preserve">🔍 指数点位与涨跌幅经新浪、东方财富、腾讯三源校验一致，</w:t>
      </w:r>
      <w:r>
        <w:rPr>
          <w:rStyle w:val="VerbatimChar"/>
        </w:rPr>
        <w:t xml:space="preserve">market_indices.comparison</w:t>
      </w:r>
      <w:r>
        <w:t xml:space="preserve">五项均为</w:t>
      </w:r>
      <w:r>
        <w:rPr>
          <w:rStyle w:val="VerbatimChar"/>
        </w:rPr>
        <w:t xml:space="preserve">ok</w:t>
      </w:r>
      <w:r>
        <w:t xml:space="preserve">；成长指数明显强于沪市权重，全天呈</w:t>
      </w:r>
      <w:r>
        <w:t xml:space="preserve">“</w:t>
      </w:r>
      <w:r>
        <w:t xml:space="preserve">深强沪弱、科创领涨</w:t>
      </w:r>
      <w:r>
        <w:t xml:space="preserve">”</w:t>
      </w:r>
      <w:r>
        <w:t xml:space="preserve">。</w:t>
      </w:r>
    </w:p>
    <w:p>
      <w:pPr>
        <w:numPr>
          <w:ilvl w:val="0"/>
          <w:numId w:val="1001"/>
        </w:numPr>
        <w:pStyle w:val="Compact"/>
      </w:pPr>
      <w:r>
        <w:t xml:space="preserve">💰 同花顺完整单源确认全市场成交额29742.01亿元，另列昨日成交额27180.75亿元及变动2561.26亿元；但</w:t>
      </w:r>
      <w:r>
        <w:rPr>
          <w:rStyle w:val="VerbatimChar"/>
        </w:rPr>
        <w:t xml:space="preserve">turnover_comparison_scope=unverified</w:t>
      </w:r>
      <w:r>
        <w:t xml:space="preserve">，本报告只引用原始金额，不计算或使用成交额变化百分比。</w:t>
      </w:r>
    </w:p>
    <w:p>
      <w:pPr>
        <w:numPr>
          <w:ilvl w:val="0"/>
          <w:numId w:val="1001"/>
        </w:numPr>
        <w:pStyle w:val="Compact"/>
      </w:pPr>
      <w:r>
        <w:t xml:space="preserve">📊 同花顺完整单源确认上涨3107家、下跌2301家、平盘117家、停牌4家，涨停119家、跌停25家；上涨家数与涨停数占优，赚钱效应较午间明显扩散。</w:t>
      </w:r>
    </w:p>
    <w:p>
      <w:pPr>
        <w:numPr>
          <w:ilvl w:val="0"/>
          <w:numId w:val="1001"/>
        </w:numPr>
        <w:pStyle w:val="Compact"/>
      </w:pPr>
      <w:r>
        <w:t xml:space="preserve">⚠️ 沪深300ETF净申购方向未出现在采集JSON中，代理指标标记为</w:t>
      </w:r>
      <w:r>
        <w:t xml:space="preserve">“</w:t>
      </w:r>
      <w:r>
        <w:t xml:space="preserve">未核验</w:t>
      </w:r>
      <w:r>
        <w:t xml:space="preserve">”</w:t>
      </w:r>
      <w:r>
        <w:t xml:space="preserve">；华泰文本中的ETF成交放大不能等同于净申购。</w:t>
      </w:r>
    </w:p>
    <w:p>
      <w:pPr>
        <w:numPr>
          <w:ilvl w:val="0"/>
          <w:numId w:val="1001"/>
        </w:numPr>
        <w:pStyle w:val="Compact"/>
      </w:pPr>
      <w:r>
        <w:t xml:space="preserve">🎭 一句话盘面：科技成长从上午的结构性修复升级为下午的扩散进攻，科创50大涨10.7333%，但板块资金TOP10、结构化板块排行与个股多源校验缺失，追高仍需设置严格失效条件。</w:t>
      </w:r>
    </w:p>
    <w:p>
      <w:pPr>
        <w:pStyle w:val="BlockText"/>
      </w:pPr>
      <w:r>
        <w:t xml:space="preserve">⚠️ 数据质量：关键源覆盖3/7。指数为多源交叉验证；市场广度与全市场成交额均为同花顺</w:t>
      </w:r>
      <w:r>
        <w:rPr>
          <w:rStyle w:val="VerbatimChar"/>
        </w:rPr>
        <w:t xml:space="preserve">single_source</w:t>
      </w:r>
      <w:r>
        <w:t xml:space="preserve">，可正常使用但需标注单源；东方财富资金流、板块表现、活跃股、涨跌停样本及核心个股多源校验均因HTTP 502失败。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上午-vs-下午对比"/>
      <w:r>
        <w:t xml:space="preserve">⏰ 上午 vs 下午对比</w:t>
      </w:r>
      <w:bookmarkEnd w:id="22"/>
    </w:p>
    <w:p>
      <w:pPr>
        <w:pStyle w:val="Heading3"/>
      </w:pPr>
      <w:bookmarkStart w:id="23" w:name="指数与广度变化"/>
      <w:r>
        <w:t xml:space="preserve">📈 指数与广度变化</w:t>
      </w:r>
      <w:bookmarkEnd w:id="23"/>
    </w:p>
    <w:p>
      <w:pPr>
        <w:numPr>
          <w:ilvl w:val="0"/>
          <w:numId w:val="1002"/>
        </w:numPr>
        <w:pStyle w:val="Compact"/>
      </w:pPr>
      <w:r>
        <w:t xml:space="preserve">🔴 上证指数由午间3819.6555点、+0.6157%升至3864.3671点、+1.7935%；深证成指由14074.216点、+3.4091%升至14264.291点、+4.8056%。</w:t>
      </w:r>
    </w:p>
    <w:p>
      <w:pPr>
        <w:numPr>
          <w:ilvl w:val="0"/>
          <w:numId w:val="1002"/>
        </w:numPr>
        <w:pStyle w:val="Compact"/>
      </w:pPr>
      <w:r>
        <w:t xml:space="preserve">🔴 创业板指由3622.268点、+5.2036%升至3685.969点、+7.0537%；科创50由1837.9431点、+6.9386%升至1903.1613点、+10.7333%，下午成长风格继续增强而非冲高回落。</w:t>
      </w:r>
    </w:p>
    <w:p>
      <w:pPr>
        <w:numPr>
          <w:ilvl w:val="0"/>
          <w:numId w:val="1002"/>
        </w:numPr>
        <w:pStyle w:val="Compact"/>
      </w:pPr>
      <w:r>
        <w:t xml:space="preserve">📊 上涨家数从2603家增至3107家，下跌家数从2804家降至2301家；涨停从46家增至119家，跌停从24家增至25家。下午增量主要体现在强势股扩散，尾部风险数量没有同步显著扩大。</w:t>
      </w:r>
    </w:p>
    <w:p>
      <w:pPr>
        <w:numPr>
          <w:ilvl w:val="0"/>
          <w:numId w:val="1002"/>
        </w:numPr>
        <w:pStyle w:val="Compact"/>
      </w:pPr>
      <w:r>
        <w:t xml:space="preserve">💰 全市场累计成交额由午间20120.23亿元增至收盘29742.01亿元，下午新增成交9621.78亿元；由于比较口径未核验，不据此写</w:t>
      </w:r>
      <w:r>
        <w:t xml:space="preserve">“</w:t>
      </w:r>
      <w:r>
        <w:t xml:space="preserve">同比放量百分比</w:t>
      </w:r>
      <w:r>
        <w:t xml:space="preserve">”</w:t>
      </w:r>
      <w:r>
        <w:t xml:space="preserve">。</w:t>
      </w:r>
    </w:p>
    <w:p>
      <w:pPr>
        <w:pStyle w:val="Heading3"/>
      </w:pPr>
      <w:bookmarkStart w:id="24" w:name="轮动节奏与午盘验证"/>
      <w:r>
        <w:t xml:space="preserve">🔄 轮动节奏与午盘验证</w:t>
      </w:r>
      <w:bookmarkEnd w:id="24"/>
    </w:p>
    <w:p>
      <w:pPr>
        <w:numPr>
          <w:ilvl w:val="0"/>
          <w:numId w:val="1003"/>
        </w:numPr>
        <w:pStyle w:val="Compact"/>
      </w:pPr>
      <w:r>
        <w:t xml:space="preserve">✅ 午盘判断科技成长为主导方向得到验证：科创50、创业板指、深证成指下午均继续扩大涨幅，半导体、CPO/光模块、PCB/元件等继续被华泰收盘文本识别为活跃方向。</w:t>
      </w:r>
    </w:p>
    <w:p>
      <w:pPr>
        <w:numPr>
          <w:ilvl w:val="0"/>
          <w:numId w:val="1003"/>
        </w:numPr>
        <w:pStyle w:val="Compact"/>
      </w:pPr>
      <w:r>
        <w:t xml:space="preserve">✅ 午盘提出</w:t>
      </w:r>
      <w:r>
        <w:t xml:space="preserve">“</w:t>
      </w:r>
      <w:r>
        <w:t xml:space="preserve">指数强、广度分化</w:t>
      </w:r>
      <w:r>
        <w:t xml:space="preserve">”</w:t>
      </w:r>
      <w:r>
        <w:t xml:space="preserve">的风险在下午得到修复：收盘上涨3107家超过下跌2301家，较午间的2603/2804明显改善。</w:t>
      </w:r>
    </w:p>
    <w:p>
      <w:pPr>
        <w:numPr>
          <w:ilvl w:val="0"/>
          <w:numId w:val="1003"/>
        </w:numPr>
        <w:pStyle w:val="Compact"/>
      </w:pPr>
      <w:r>
        <w:t xml:space="preserve">✅ 午盘将油气、医药/CRO与高股息列为回避或减仓方向，华泰收盘文本仍把油气、医药、煤炭和银行归为弱势方向；工商银行收盘-2.33%也验证红利与成长的跷跷板。</w:t>
      </w:r>
    </w:p>
    <w:p>
      <w:pPr>
        <w:numPr>
          <w:ilvl w:val="0"/>
          <w:numId w:val="1003"/>
        </w:numPr>
        <w:pStyle w:val="Compact"/>
      </w:pPr>
      <w:r>
        <w:t xml:space="preserve">⚠️ 午盘要求用板块资金与涨停结构确认主线，但收盘</w:t>
      </w:r>
      <w:r>
        <w:rPr>
          <w:rStyle w:val="VerbatimChar"/>
        </w:rPr>
        <w:t xml:space="preserve">money_flow</w:t>
      </w:r>
      <w:r>
        <w:t xml:space="preserve">、</w:t>
      </w:r>
      <w:r>
        <w:rPr>
          <w:rStyle w:val="VerbatimChar"/>
        </w:rPr>
        <w:t xml:space="preserve">sector_performance</w:t>
      </w:r>
      <w:r>
        <w:t xml:space="preserve">、</w:t>
      </w:r>
      <w:r>
        <w:rPr>
          <w:rStyle w:val="VerbatimChar"/>
        </w:rPr>
        <w:t xml:space="preserve">limit_stocks</w:t>
      </w:r>
      <w:r>
        <w:t xml:space="preserve">仍未恢复；因此只能确认指数、广度和华泰补充线索共振，不能补写板块精确涨幅、成交额或完整涨停梯队。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5" w:name="领涨板块-top10-与龙头股"/>
      <w:r>
        <w:t xml:space="preserve">🔥 领涨板块 TOP10 与龙头股</w:t>
      </w:r>
      <w:bookmarkEnd w:id="25"/>
    </w:p>
    <w:p>
      <w:pPr>
        <w:pStyle w:val="Heading3"/>
      </w:pPr>
      <w:bookmarkStart w:id="26" w:name="top10榜单状态"/>
      <w:r>
        <w:t xml:space="preserve">📈 TOP10榜单状态</w:t>
      </w:r>
      <w:bookmarkEnd w:id="26"/>
    </w:p>
    <w:p>
      <w:pPr>
        <w:numPr>
          <w:ilvl w:val="0"/>
          <w:numId w:val="1004"/>
        </w:numPr>
        <w:pStyle w:val="Compact"/>
      </w:pPr>
      <w:r>
        <w:t xml:space="preserve">⚠️</w:t>
      </w:r>
      <w:r>
        <w:t xml:space="preserve"> </w:t>
      </w:r>
      <w:r>
        <w:rPr>
          <w:rStyle w:val="VerbatimChar"/>
        </w:rPr>
        <w:t xml:space="preserve">sector_performance.ok=false</w:t>
      </w:r>
      <w:r>
        <w:t xml:space="preserve">，采集JSON没有可核验的结构化领涨板块TOP10；本报告不得将华泰自然语言概括伪装成真实名次、涨幅或成交额榜单。</w:t>
      </w:r>
    </w:p>
    <w:p>
      <w:pPr>
        <w:numPr>
          <w:ilvl w:val="0"/>
          <w:numId w:val="1004"/>
        </w:numPr>
        <w:pStyle w:val="Compact"/>
      </w:pPr>
      <w:r>
        <w:t xml:space="preserve">🔎 华泰</w:t>
      </w:r>
      <w:r>
        <w:rPr>
          <w:rStyle w:val="VerbatimChar"/>
        </w:rPr>
        <w:t xml:space="preserve">query_indicator</w:t>
      </w:r>
      <w:r>
        <w:t xml:space="preserve">与</w:t>
      </w:r>
      <w:r>
        <w:rPr>
          <w:rStyle w:val="VerbatimChar"/>
        </w:rPr>
        <w:t xml:space="preserve">market_insight</w:t>
      </w:r>
      <w:r>
        <w:t xml:space="preserve">共同把半导体产业链、CPO/光模块、PCB/元件和算力租赁识别为强势方向，仅作为补充方向线索。</w:t>
      </w:r>
    </w:p>
    <w:p>
      <w:pPr>
        <w:numPr>
          <w:ilvl w:val="0"/>
          <w:numId w:val="1004"/>
        </w:numPr>
        <w:pStyle w:val="Compact"/>
      </w:pPr>
      <w:r>
        <w:t xml:space="preserve">📌 可确认的结构化市场证据是科创50+10.7333%、创业板指+7.0537%、上涨3107家、涨停119家；板块精确排序、资金金额和封单细节均为</w:t>
      </w:r>
      <w:r>
        <w:t xml:space="preserve">“</w:t>
      </w:r>
      <w:r>
        <w:t xml:space="preserve">未核验</w:t>
      </w:r>
      <w:r>
        <w:t xml:space="preserve">”</w:t>
      </w:r>
      <w:r>
        <w:t xml:space="preserve">。</w:t>
      </w:r>
    </w:p>
    <w:p>
      <w:pPr>
        <w:pStyle w:val="Heading3"/>
      </w:pPr>
      <w:bookmarkStart w:id="27" w:name="可辨识度样本20只非结构化top20榜单"/>
      <w:r>
        <w:t xml:space="preserve">🚀 可辨识度样本20只（非结构化TOP20榜单）</w:t>
      </w:r>
      <w:bookmarkEnd w:id="27"/>
    </w:p>
    <w:p>
      <w:pPr>
        <w:pStyle w:val="BlockText"/>
      </w:pPr>
      <w:r>
        <w:t xml:space="preserve">以下股票来自华泰收盘文本或华泰结构化选股。由于</w:t>
      </w:r>
      <w:r>
        <w:rPr>
          <w:rStyle w:val="VerbatimChar"/>
        </w:rPr>
        <w:t xml:space="preserve">active_stocks</w:t>
      </w:r>
      <w:r>
        <w:t xml:space="preserve">、</w:t>
      </w:r>
      <w:r>
        <w:rPr>
          <w:rStyle w:val="VerbatimChar"/>
        </w:rPr>
        <w:t xml:space="preserve">limit_stocks</w:t>
      </w:r>
      <w:r>
        <w:t xml:space="preserve">及</w:t>
      </w:r>
      <w:r>
        <w:rPr>
          <w:rStyle w:val="VerbatimChar"/>
        </w:rPr>
        <w:t xml:space="preserve">stock_quote_cross_checks</w:t>
      </w:r>
      <w:r>
        <w:t xml:space="preserve">失败，不把这些样本写成经多源确认的真实TOP20排名；没有结构化行情的数据不补写价格、涨幅或成交额。</w:t>
      </w:r>
    </w:p>
    <w:p>
      <w:pPr>
        <w:numPr>
          <w:ilvl w:val="0"/>
          <w:numId w:val="1005"/>
        </w:numPr>
        <w:pStyle w:val="Compact"/>
      </w:pPr>
      <w:r>
        <w:t xml:space="preserve">北方华创：半导体设备风向标；华泰文本列为强势样本，明日观察板块分歧时能否维持承接。</w:t>
      </w:r>
    </w:p>
    <w:p>
      <w:pPr>
        <w:numPr>
          <w:ilvl w:val="0"/>
          <w:numId w:val="1005"/>
        </w:numPr>
        <w:pStyle w:val="Compact"/>
      </w:pPr>
      <w:r>
        <w:t xml:space="preserve">长川科技：半导体测试设备弹性样本；华泰文本称表现活跃，明日不追开盘一致性冲高。</w:t>
      </w:r>
    </w:p>
    <w:p>
      <w:pPr>
        <w:numPr>
          <w:ilvl w:val="0"/>
          <w:numId w:val="1005"/>
        </w:numPr>
        <w:pStyle w:val="Compact"/>
      </w:pPr>
      <w:r>
        <w:t xml:space="preserve">中科飞测：半导体检测设备样本；与设备国产替代方向相关，需等待结构化资金恢复确认。</w:t>
      </w:r>
    </w:p>
    <w:p>
      <w:pPr>
        <w:numPr>
          <w:ilvl w:val="0"/>
          <w:numId w:val="1005"/>
        </w:numPr>
        <w:pStyle w:val="Compact"/>
      </w:pPr>
      <w:r>
        <w:t xml:space="preserve">金海通：半导体设备样本；华泰文本给出强势线索，涨停状态未获本地样本源复核。</w:t>
      </w:r>
    </w:p>
    <w:p>
      <w:pPr>
        <w:numPr>
          <w:ilvl w:val="0"/>
          <w:numId w:val="1005"/>
        </w:numPr>
        <w:pStyle w:val="Compact"/>
      </w:pPr>
      <w:r>
        <w:t xml:space="preserve">新洁能：功率半导体样本；与硬科技修复共振，明日需看是否由情绪修复转向趋势承接。</w:t>
      </w:r>
    </w:p>
    <w:p>
      <w:pPr>
        <w:numPr>
          <w:ilvl w:val="0"/>
          <w:numId w:val="1005"/>
        </w:numPr>
        <w:pStyle w:val="Compact"/>
      </w:pPr>
      <w:r>
        <w:t xml:space="preserve">东芯股份：存储芯片样本；华泰文本称高弹性，需防单日大涨后的兑现。</w:t>
      </w:r>
    </w:p>
    <w:p>
      <w:pPr>
        <w:numPr>
          <w:ilvl w:val="0"/>
          <w:numId w:val="1005"/>
        </w:numPr>
        <w:pStyle w:val="Compact"/>
      </w:pPr>
      <w:r>
        <w:t xml:space="preserve">东微半导：功率器件样本；行情精确值未核验，只观察板块联动，不单票追高。</w:t>
      </w:r>
    </w:p>
    <w:p>
      <w:pPr>
        <w:numPr>
          <w:ilvl w:val="0"/>
          <w:numId w:val="1005"/>
        </w:numPr>
        <w:pStyle w:val="Compact"/>
      </w:pPr>
      <w:r>
        <w:t xml:space="preserve">华虹宏力：晶圆制造样本；受半导体整体风险偏好提升映射，明日看核心资产承接。</w:t>
      </w:r>
    </w:p>
    <w:p>
      <w:pPr>
        <w:numPr>
          <w:ilvl w:val="0"/>
          <w:numId w:val="1005"/>
        </w:numPr>
        <w:pStyle w:val="Compact"/>
      </w:pPr>
      <w:r>
        <w:t xml:space="preserve">雅克科技：半导体材料/电子材料样本；华泰文本称出现高辨识度反转，需防极端波动。</w:t>
      </w:r>
    </w:p>
    <w:p>
      <w:pPr>
        <w:numPr>
          <w:ilvl w:val="0"/>
          <w:numId w:val="1005"/>
        </w:numPr>
        <w:pStyle w:val="Compact"/>
      </w:pPr>
      <w:r>
        <w:t xml:space="preserve">光迅科技：光模块/光通信样本；华泰文本称出现高辨识度反转，明日看CPO内部是否继续扩散。</w:t>
      </w:r>
    </w:p>
    <w:p>
      <w:pPr>
        <w:numPr>
          <w:ilvl w:val="0"/>
          <w:numId w:val="1005"/>
        </w:numPr>
        <w:pStyle w:val="Compact"/>
      </w:pPr>
      <w:r>
        <w:t xml:space="preserve">联特科技：光模块弹性样本；华泰文本列为强势股，缺少本地多源行情，暂不使用具体涨幅。</w:t>
      </w:r>
    </w:p>
    <w:p>
      <w:pPr>
        <w:numPr>
          <w:ilvl w:val="0"/>
          <w:numId w:val="1005"/>
        </w:numPr>
        <w:pStyle w:val="Compact"/>
      </w:pPr>
      <w:r>
        <w:t xml:space="preserve">共进股份：通信设备样本；与算力通信方向相关，明日需确认资金未从光通信分支撤退。</w:t>
      </w:r>
    </w:p>
    <w:p>
      <w:pPr>
        <w:numPr>
          <w:ilvl w:val="0"/>
          <w:numId w:val="1005"/>
        </w:numPr>
        <w:pStyle w:val="Compact"/>
      </w:pPr>
      <w:r>
        <w:t xml:space="preserve">联创电子：光学与电子元件样本；华泰文本列为强势样本，题材交叉较多，需观察主线归属。</w:t>
      </w:r>
    </w:p>
    <w:p>
      <w:pPr>
        <w:numPr>
          <w:ilvl w:val="0"/>
          <w:numId w:val="1005"/>
        </w:numPr>
        <w:pStyle w:val="Compact"/>
      </w:pPr>
      <w:r>
        <w:t xml:space="preserve">星网锐捷：交换机/网络设备方向；华泰结构化收盘选股确认31.61元、+9.99%、主力净流入3.42亿元，属于华泰单源正向资金样本。</w:t>
      </w:r>
    </w:p>
    <w:p>
      <w:pPr>
        <w:numPr>
          <w:ilvl w:val="0"/>
          <w:numId w:val="1005"/>
        </w:numPr>
        <w:pStyle w:val="Compact"/>
      </w:pPr>
      <w:r>
        <w:t xml:space="preserve">紫光股份：算力网络与ICT设备方向；华泰结构化收盘选股确认41.46元、+10.00%、主力净流入5498.34万元，属于华泰单源事实。</w:t>
      </w:r>
    </w:p>
    <w:p>
      <w:pPr>
        <w:numPr>
          <w:ilvl w:val="0"/>
          <w:numId w:val="1005"/>
        </w:numPr>
        <w:pStyle w:val="Compact"/>
      </w:pPr>
      <w:r>
        <w:t xml:space="preserve">中嘉博创：算力租赁/通信服务样本；华泰收盘文本列为活跃方向，精确收盘行情未在结构化收盘选股中提供。</w:t>
      </w:r>
    </w:p>
    <w:p>
      <w:pPr>
        <w:numPr>
          <w:ilvl w:val="0"/>
          <w:numId w:val="1005"/>
        </w:numPr>
        <w:pStyle w:val="Compact"/>
      </w:pPr>
      <w:r>
        <w:t xml:space="preserve">利通电子：算力租赁相关样本；华泰文本列为强势线索，需等待本地行情与资金榜单恢复。</w:t>
      </w:r>
    </w:p>
    <w:p>
      <w:pPr>
        <w:numPr>
          <w:ilvl w:val="0"/>
          <w:numId w:val="1005"/>
        </w:numPr>
        <w:pStyle w:val="Compact"/>
      </w:pPr>
      <w:r>
        <w:t xml:space="preserve">三环集团：电子元件/陶瓷材料样本；华泰文本称表现活跃，明日观察元件分支能否独立延续。</w:t>
      </w:r>
    </w:p>
    <w:p>
      <w:pPr>
        <w:numPr>
          <w:ilvl w:val="0"/>
          <w:numId w:val="1005"/>
        </w:numPr>
        <w:pStyle w:val="Compact"/>
      </w:pPr>
      <w:r>
        <w:t xml:space="preserve">顺络电子：电子元件/电感方向；华泰文本列为活跃样本，板块资金和精确行情未核验。</w:t>
      </w:r>
    </w:p>
    <w:p>
      <w:pPr>
        <w:numPr>
          <w:ilvl w:val="0"/>
          <w:numId w:val="1005"/>
        </w:numPr>
        <w:pStyle w:val="Compact"/>
      </w:pPr>
      <w:r>
        <w:t xml:space="preserve">生益科技：高速PCB材料方向；华泰文本列为跟涨样本，明日需看AI服务器需求线是否得到成交与资金确认。</w:t>
      </w:r>
    </w:p>
    <w:p>
      <w:pPr>
        <w:pStyle w:val="Heading3"/>
      </w:pPr>
      <w:bookmarkStart w:id="28" w:name="龙头观察结论"/>
      <w:r>
        <w:t xml:space="preserve">💡 龙头观察结论</w:t>
      </w:r>
      <w:bookmarkEnd w:id="28"/>
    </w:p>
    <w:p>
      <w:pPr>
        <w:numPr>
          <w:ilvl w:val="0"/>
          <w:numId w:val="1006"/>
        </w:numPr>
        <w:pStyle w:val="Compact"/>
      </w:pPr>
      <w:r>
        <w:t xml:space="preserve">🔥 第一观察组：北方华创、长川科技、中科飞测，代表半导体设备；若前排分歧后仍强于科创50，可维持高优先级。</w:t>
      </w:r>
    </w:p>
    <w:p>
      <w:pPr>
        <w:numPr>
          <w:ilvl w:val="0"/>
          <w:numId w:val="1006"/>
        </w:numPr>
        <w:pStyle w:val="Compact"/>
      </w:pPr>
      <w:r>
        <w:t xml:space="preserve">📡 第二观察组：光迅科技、联特科技、星网锐捷、紫光股份，代表CPO与算力网络；其中星网锐捷、紫光股份有华泰结构化价格与资金数据，但仍是单源。</w:t>
      </w:r>
    </w:p>
    <w:p>
      <w:pPr>
        <w:numPr>
          <w:ilvl w:val="0"/>
          <w:numId w:val="1006"/>
        </w:numPr>
        <w:pStyle w:val="Compact"/>
      </w:pPr>
      <w:r>
        <w:t xml:space="preserve">🧩 第三观察组：三环集团、顺络电子、生益科技，代表元件与PCB；必须补上板块资金、成交额或更多核心股联动后才能升级。</w:t>
      </w:r>
    </w:p>
    <w:p>
      <w:pPr>
        <w:numPr>
          <w:ilvl w:val="0"/>
          <w:numId w:val="1006"/>
        </w:numPr>
        <w:pStyle w:val="Compact"/>
      </w:pPr>
      <w:r>
        <w:t xml:space="preserve">⚠️ 若上述前排同步高开低走、科创50明显回吐且涨停扩散停止，科技主线由</w:t>
      </w:r>
      <w:r>
        <w:t xml:space="preserve">“</w:t>
      </w:r>
      <w:r>
        <w:t xml:space="preserve">进攻</w:t>
      </w:r>
      <w:r>
        <w:t xml:space="preserve">”</w:t>
      </w:r>
      <w:r>
        <w:t xml:space="preserve">降级为</w:t>
      </w:r>
      <w:r>
        <w:t xml:space="preserve">“</w:t>
      </w:r>
      <w:r>
        <w:t xml:space="preserve">兑现</w:t>
      </w:r>
      <w:r>
        <w:t xml:space="preserve">”</w:t>
      </w:r>
      <w:r>
        <w:t xml:space="preserve">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9" w:name="领跌板块-top5-与资金流出"/>
      <w:r>
        <w:t xml:space="preserve">🔴 领跌板块 TOP5 与资金流出</w:t>
      </w:r>
      <w:bookmarkEnd w:id="29"/>
    </w:p>
    <w:p>
      <w:pPr>
        <w:pStyle w:val="Heading3"/>
      </w:pPr>
      <w:bookmarkStart w:id="30" w:name="领跌top5状态"/>
      <w:r>
        <w:t xml:space="preserve">📉 领跌TOP5状态</w:t>
      </w:r>
      <w:bookmarkEnd w:id="30"/>
    </w:p>
    <w:p>
      <w:pPr>
        <w:numPr>
          <w:ilvl w:val="0"/>
          <w:numId w:val="1007"/>
        </w:numPr>
        <w:pStyle w:val="Compact"/>
      </w:pPr>
      <w:r>
        <w:t xml:space="preserve">⚠️</w:t>
      </w:r>
      <w:r>
        <w:t xml:space="preserve"> </w:t>
      </w:r>
      <w:r>
        <w:rPr>
          <w:rStyle w:val="VerbatimChar"/>
        </w:rPr>
        <w:t xml:space="preserve">sector_performance.ok=false</w:t>
      </w:r>
      <w:r>
        <w:t xml:space="preserve">，结构化领跌板块TOP5缺失，不能写真实排名或精确跌幅。</w:t>
      </w:r>
    </w:p>
    <w:p>
      <w:pPr>
        <w:numPr>
          <w:ilvl w:val="0"/>
          <w:numId w:val="1007"/>
        </w:numPr>
        <w:pStyle w:val="Compact"/>
      </w:pPr>
      <w:r>
        <w:t xml:space="preserve">🔎 华泰收盘文本仅提供弱势线索：油气、医药、煤炭、银行、渔业；这些方向没有本地结构化板块数据交叉验证，不写成正式TOP5榜单。</w:t>
      </w:r>
    </w:p>
    <w:p>
      <w:pPr>
        <w:numPr>
          <w:ilvl w:val="0"/>
          <w:numId w:val="1007"/>
        </w:numPr>
        <w:pStyle w:val="Compact"/>
      </w:pPr>
      <w:r>
        <w:t xml:space="preserve">📉 油气：华泰文本指向前期涨幅回吐；与盘前事件驱动方向相比，今日表现是明显的风格切换线索。</w:t>
      </w:r>
    </w:p>
    <w:p>
      <w:pPr>
        <w:numPr>
          <w:ilvl w:val="0"/>
          <w:numId w:val="1007"/>
        </w:numPr>
        <w:pStyle w:val="Compact"/>
      </w:pPr>
      <w:r>
        <w:t xml:space="preserve">📉 医药：华泰文本指向部分品种承压；华泰结构化选股同时出现陇神戎发、哈药股份、康龙化成、艾力斯等上涨样本，说明医药内部并非单边一致，不能笼统判定全板块退潮。</w:t>
      </w:r>
    </w:p>
    <w:p>
      <w:pPr>
        <w:numPr>
          <w:ilvl w:val="0"/>
          <w:numId w:val="1007"/>
        </w:numPr>
        <w:pStyle w:val="Compact"/>
      </w:pPr>
      <w:r>
        <w:t xml:space="preserve">📉 银行：工商银行华泰单源收盘7.56元、-2.33%，与科创成长领涨明显背离；但农业银行等板块样本缺失，银行整体跌幅未核验。</w:t>
      </w:r>
    </w:p>
    <w:p>
      <w:pPr>
        <w:pStyle w:val="Heading3"/>
      </w:pPr>
      <w:bookmarkStart w:id="31" w:name="主力净流入top10"/>
      <w:r>
        <w:t xml:space="preserve">💰 主力净流入TOP10</w:t>
      </w:r>
      <w:bookmarkEnd w:id="31"/>
    </w:p>
    <w:p>
      <w:pPr>
        <w:numPr>
          <w:ilvl w:val="0"/>
          <w:numId w:val="1008"/>
        </w:numPr>
        <w:pStyle w:val="Compact"/>
      </w:pPr>
      <w:r>
        <w:t xml:space="preserve">⚠️ 未核验：</w:t>
      </w:r>
      <w:r>
        <w:rPr>
          <w:rStyle w:val="VerbatimChar"/>
        </w:rPr>
        <w:t xml:space="preserve">sources.money_flow.ok=false</w:t>
      </w:r>
      <w:r>
        <w:t xml:space="preserve">，东方财富资金流接口返回HTTP 502，采集JSON没有真实的板块主力净流入TOP10及对应金额。</w:t>
      </w:r>
    </w:p>
    <w:p>
      <w:pPr>
        <w:numPr>
          <w:ilvl w:val="0"/>
          <w:numId w:val="1008"/>
        </w:numPr>
        <w:pStyle w:val="Compact"/>
      </w:pPr>
      <w:r>
        <w:t xml:space="preserve">🚫 不使用搜索数据、昨日榜单或华泰自然语言总结补齐1—10名，也不把少数华泰个股选股结果冒充板块TOP10。</w:t>
      </w:r>
    </w:p>
    <w:p>
      <w:pPr>
        <w:numPr>
          <w:ilvl w:val="0"/>
          <w:numId w:val="1008"/>
        </w:numPr>
        <w:pStyle w:val="Compact"/>
      </w:pPr>
      <w:r>
        <w:t xml:space="preserve">🔎 华泰单源个股资金线索仅包括：星网锐捷+3.42亿元、康龙化成+2.31亿元、艾力斯+1.04亿元、哈药股份+6760.38万元、紫光股份+5498.34万元、陇神戎发+2021.47万元、罗莱生活+211.95万元。</w:t>
      </w:r>
    </w:p>
    <w:p>
      <w:pPr>
        <w:pStyle w:val="Heading3"/>
      </w:pPr>
      <w:bookmarkStart w:id="32" w:name="主力净流出top10"/>
      <w:r>
        <w:t xml:space="preserve">⚠️ 主力净流出TOP10</w:t>
      </w:r>
      <w:bookmarkEnd w:id="32"/>
    </w:p>
    <w:p>
      <w:pPr>
        <w:numPr>
          <w:ilvl w:val="0"/>
          <w:numId w:val="1009"/>
        </w:numPr>
        <w:pStyle w:val="Compact"/>
      </w:pPr>
      <w:r>
        <w:t xml:space="preserve">⚠️ 未核验：同一结构化资金流接口失败，采集JSON没有真实的板块主力净流出TOP10及对应金额。</w:t>
      </w:r>
    </w:p>
    <w:p>
      <w:pPr>
        <w:numPr>
          <w:ilvl w:val="0"/>
          <w:numId w:val="1009"/>
        </w:numPr>
        <w:pStyle w:val="Compact"/>
      </w:pPr>
      <w:r>
        <w:t xml:space="preserve">🚫 华泰文本中的行业流出概括缺少完整名次与结构化原始榜单，故不写入TOP10，不自行补齐任何金额。</w:t>
      </w:r>
    </w:p>
    <w:p>
      <w:pPr>
        <w:numPr>
          <w:ilvl w:val="0"/>
          <w:numId w:val="1009"/>
        </w:numPr>
        <w:pStyle w:val="Compact"/>
      </w:pPr>
      <w:r>
        <w:t xml:space="preserve">💡 明日若资金源恢复，应优先核验半导体、通信、电子元件是否继续净流入，以及银行、油气、医药是否出现止流出或进一步撤退。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3" w:name="华泰自选股观察"/>
      <w:r>
        <w:t xml:space="preserve">🧾 华泰自选股观察</w:t>
      </w:r>
      <w:bookmarkEnd w:id="33"/>
    </w:p>
    <w:p>
      <w:pPr>
        <w:numPr>
          <w:ilvl w:val="0"/>
          <w:numId w:val="1010"/>
        </w:numPr>
        <w:pStyle w:val="Compact"/>
      </w:pPr>
      <w:r>
        <w:t xml:space="preserve">📌 华泰自选股共3只，收盘报价成功3只：弘元绿能13.19元、+1.00%；风语筑11.82元、-1.66%；工商银行7.56元、-2.33%。</w:t>
      </w:r>
    </w:p>
    <w:p>
      <w:pPr>
        <w:numPr>
          <w:ilvl w:val="0"/>
          <w:numId w:val="1010"/>
        </w:numPr>
        <w:pStyle w:val="Compact"/>
      </w:pPr>
      <w:r>
        <w:t xml:space="preserve">🧭 三只自选股整体弱于科创50+10.7333%和创业板指+7.0537%；弘元绿能小幅转强但未直接共振半导体/CPO主线，风语筑题材相关但股价逆势，工商银行受成长—红利跷跷板压制。整体以跟踪为主、暂不作为主攻方向。</w:t>
      </w:r>
    </w:p>
    <w:p>
      <w:pPr>
        <w:pStyle w:val="Heading3"/>
      </w:pPr>
      <w:bookmarkStart w:id="34" w:name="弘元绿能603185"/>
      <w:r>
        <w:t xml:space="preserve">1️⃣ 弘元绿能（603185）</w:t>
      </w:r>
      <w:bookmarkEnd w:id="34"/>
    </w:p>
    <w:p>
      <w:pPr>
        <w:numPr>
          <w:ilvl w:val="0"/>
          <w:numId w:val="1011"/>
        </w:numPr>
        <w:pStyle w:val="Compact"/>
      </w:pPr>
      <w:r>
        <w:t xml:space="preserve">📈 华泰单源最新价13.19元、+1.00%，前收13.06元，未停牌；午间13.06元、0.00%，下午由平盘修复为小幅上涨。</w:t>
      </w:r>
    </w:p>
    <w:p>
      <w:pPr>
        <w:numPr>
          <w:ilvl w:val="0"/>
          <w:numId w:val="1011"/>
        </w:numPr>
        <w:pStyle w:val="Compact"/>
      </w:pPr>
      <w:r>
        <w:t xml:space="preserve">🧩 所属光伏制造、硅片与电力设备方向；当日主线偏半导体、CPO和PCB/元件，光伏板块精确表现与资金流均未核验。</w:t>
      </w:r>
    </w:p>
    <w:p>
      <w:pPr>
        <w:numPr>
          <w:ilvl w:val="0"/>
          <w:numId w:val="1011"/>
        </w:numPr>
        <w:pStyle w:val="Compact"/>
      </w:pPr>
      <w:r>
        <w:t xml:space="preserve">🔄 主线关系：成长属性有一定映射，但与当日硬科技主线没有明确直接共振，个股涨幅也显著弱于成长指数。</w:t>
      </w:r>
    </w:p>
    <w:p>
      <w:pPr>
        <w:numPr>
          <w:ilvl w:val="0"/>
          <w:numId w:val="1011"/>
        </w:numPr>
        <w:pStyle w:val="Compact"/>
      </w:pPr>
      <w:r>
        <w:t xml:space="preserve">💡 判断：继续观察、可低吸跟踪但不追高；只有光伏/电力设备资金转正、股价放量站稳13.19元并继续强于板块，才提高关注。若跌回13.06元下方且不能收回，重新转弱。</w:t>
      </w:r>
    </w:p>
    <w:p>
      <w:pPr>
        <w:pStyle w:val="Heading3"/>
      </w:pPr>
      <w:bookmarkStart w:id="35" w:name="风语筑603466"/>
      <w:r>
        <w:t xml:space="preserve">2️⃣ 风语筑（603466）</w:t>
      </w:r>
      <w:bookmarkEnd w:id="35"/>
    </w:p>
    <w:p>
      <w:pPr>
        <w:numPr>
          <w:ilvl w:val="0"/>
          <w:numId w:val="1012"/>
        </w:numPr>
        <w:pStyle w:val="Compact"/>
      </w:pPr>
      <w:r>
        <w:t xml:space="preserve">📉 华泰单源最新价11.82元、-1.66%，前收12.02元，未停牌；午间11.67元、-2.91%，下午有所回升但仍未翻红。</w:t>
      </w:r>
    </w:p>
    <w:p>
      <w:pPr>
        <w:numPr>
          <w:ilvl w:val="0"/>
          <w:numId w:val="1012"/>
        </w:numPr>
        <w:pStyle w:val="Compact"/>
      </w:pPr>
      <w:r>
        <w:t xml:space="preserve">🧩 所属数字文化展示、沉浸式体验与AI应用；题材可映射人工智能应用，但当日已确认的强势线索更集中于半导体硬件、CPO和元件。</w:t>
      </w:r>
    </w:p>
    <w:p>
      <w:pPr>
        <w:numPr>
          <w:ilvl w:val="0"/>
          <w:numId w:val="1012"/>
        </w:numPr>
        <w:pStyle w:val="Compact"/>
      </w:pPr>
      <w:r>
        <w:t xml:space="preserve">🔄 主线关系：概念相关、价格不共振；下午修复弱于科技指数，尚不能证明资金主动回流。</w:t>
      </w:r>
    </w:p>
    <w:p>
      <w:pPr>
        <w:numPr>
          <w:ilvl w:val="0"/>
          <w:numId w:val="1012"/>
        </w:numPr>
        <w:pStyle w:val="Compact"/>
      </w:pPr>
      <w:r>
        <w:t xml:space="preserve">💡 判断：偏弱、继续观察、不追高，以跟踪为主、暂不作为主攻方向；收复并站稳12.02元且AI应用核心同步走强后，才可低吸跟踪，继续弱于主线则反弹减仓优先。</w:t>
      </w:r>
    </w:p>
    <w:p>
      <w:pPr>
        <w:pStyle w:val="Heading3"/>
      </w:pPr>
      <w:bookmarkStart w:id="36" w:name="工商银行601398"/>
      <w:r>
        <w:t xml:space="preserve">3️⃣ 工商银行（601398）</w:t>
      </w:r>
      <w:bookmarkEnd w:id="36"/>
    </w:p>
    <w:p>
      <w:pPr>
        <w:numPr>
          <w:ilvl w:val="0"/>
          <w:numId w:val="1013"/>
        </w:numPr>
        <w:pStyle w:val="Compact"/>
      </w:pPr>
      <w:r>
        <w:t xml:space="preserve">📉 华泰单源最新价7.56元、-2.33%，前收7.74元，未停牌；午间7.51元、-2.97%，下午小幅回升但仍明显收跌。</w:t>
      </w:r>
    </w:p>
    <w:p>
      <w:pPr>
        <w:numPr>
          <w:ilvl w:val="0"/>
          <w:numId w:val="1013"/>
        </w:numPr>
        <w:pStyle w:val="Compact"/>
      </w:pPr>
      <w:r>
        <w:t xml:space="preserve">🧩 所属国有大型银行与高股息红利方向；当日科创、创业板显著强于沪市权重，市场风格不利于红利资产。</w:t>
      </w:r>
    </w:p>
    <w:p>
      <w:pPr>
        <w:numPr>
          <w:ilvl w:val="0"/>
          <w:numId w:val="1013"/>
        </w:numPr>
        <w:pStyle w:val="Compact"/>
      </w:pPr>
      <w:r>
        <w:t xml:space="preserve">🔄 主线关系：与当日科技成长主线不共振，属于组合防御方向而非进攻方向。</w:t>
      </w:r>
    </w:p>
    <w:p>
      <w:pPr>
        <w:numPr>
          <w:ilvl w:val="0"/>
          <w:numId w:val="1013"/>
        </w:numPr>
        <w:pStyle w:val="Compact"/>
      </w:pPr>
      <w:r>
        <w:t xml:space="preserve">💡 判断：偏弱、以保护利润和防御持有为主，不追高、不新增进攻仓；若后续不能收复7.74元且银行继续弱于上证指数，应降低预期。以跟踪为主、暂不作为主攻方向。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7" w:name="市场情绪综合判断"/>
      <w:r>
        <w:t xml:space="preserve">🎭 市场情绪综合判断</w:t>
      </w:r>
      <w:bookmarkEnd w:id="37"/>
    </w:p>
    <w:p>
      <w:pPr>
        <w:numPr>
          <w:ilvl w:val="0"/>
          <w:numId w:val="1014"/>
        </w:numPr>
        <w:pStyle w:val="Compact"/>
      </w:pPr>
      <w:r>
        <w:t xml:space="preserve">📈 赚钱效应：上涨3107家、下跌2301家，涨停119家、跌停25家；与午间2603涨/2804跌、46涨停/24跌停相比，下午强势扩散明显。</w:t>
      </w:r>
    </w:p>
    <w:p>
      <w:pPr>
        <w:numPr>
          <w:ilvl w:val="0"/>
          <w:numId w:val="1014"/>
        </w:numPr>
        <w:pStyle w:val="Compact"/>
      </w:pPr>
      <w:r>
        <w:t xml:space="preserve">🔥 市场风格：</w:t>
      </w:r>
      <w:r>
        <w:rPr>
          <w:rStyle w:val="VerbatimChar"/>
        </w:rPr>
        <w:t xml:space="preserve">derived.market_style</w:t>
      </w:r>
      <w:r>
        <w:t xml:space="preserve">为</w:t>
      </w:r>
      <w:r>
        <w:t xml:space="preserve">“</w:t>
      </w:r>
      <w:r>
        <w:t xml:space="preserve">偏强/风险偏好较高</w:t>
      </w:r>
      <w:r>
        <w:t xml:space="preserve">”</w:t>
      </w:r>
      <w:r>
        <w:t xml:space="preserve">；科创50+10.7333%、创业板指+7.0537%显著领先上证指数+1.7935%，成长风格占优。</w:t>
      </w:r>
    </w:p>
    <w:p>
      <w:pPr>
        <w:numPr>
          <w:ilvl w:val="0"/>
          <w:numId w:val="1014"/>
        </w:numPr>
        <w:pStyle w:val="Compact"/>
      </w:pPr>
      <w:r>
        <w:t xml:space="preserve">🎭 情绪周期：由昨日极端分化和午间结构性回暖，推进到收盘</w:t>
      </w:r>
      <w:r>
        <w:t xml:space="preserve">“</w:t>
      </w:r>
      <w:r>
        <w:t xml:space="preserve">强修复/局部过热</w:t>
      </w:r>
      <w:r>
        <w:t xml:space="preserve">”</w:t>
      </w:r>
      <w:r>
        <w:t xml:space="preserve">。涨停扩散支持回暖，但科创指数单日大涨及关键资金榜单缺失，不宜直接定义为新一轮主升。</w:t>
      </w:r>
    </w:p>
    <w:p>
      <w:pPr>
        <w:numPr>
          <w:ilvl w:val="0"/>
          <w:numId w:val="1014"/>
        </w:numPr>
        <w:pStyle w:val="Compact"/>
      </w:pPr>
      <w:r>
        <w:t xml:space="preserve">⚠️ 市场分歧：科技前排强、红利与部分油气偏弱；医药内部既有弱势文本线索，也有华泰结构化上涨个股，说明轮动和内部差异仍大。</w:t>
      </w:r>
    </w:p>
    <w:p>
      <w:pPr>
        <w:numPr>
          <w:ilvl w:val="0"/>
          <w:numId w:val="1014"/>
        </w:numPr>
        <w:pStyle w:val="Compact"/>
      </w:pPr>
      <w:r>
        <w:t xml:space="preserve">💰 量能：29742.01亿元为同花顺单源确认的全天原始成交额；比较范围未核验，因此只能说</w:t>
      </w:r>
      <w:r>
        <w:t xml:space="preserve">“</w:t>
      </w:r>
      <w:r>
        <w:t xml:space="preserve">交投活跃</w:t>
      </w:r>
      <w:r>
        <w:t xml:space="preserve">”</w:t>
      </w:r>
      <w:r>
        <w:t xml:space="preserve">，不能使用变化百分比强化仓位结论。</w:t>
      </w:r>
    </w:p>
    <w:p>
      <w:pPr>
        <w:numPr>
          <w:ilvl w:val="0"/>
          <w:numId w:val="1014"/>
        </w:numPr>
        <w:pStyle w:val="Compact"/>
      </w:pPr>
      <w:r>
        <w:t xml:space="preserve">🧭 综合判断：风险偏好明显修复，但明日最重要的不是继续追涨，而是验证科技前排能否在分歧中承接、板块资金能否恢复结构化确认。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8" w:name="明日展望"/>
      <w:r>
        <w:t xml:space="preserve">🎯 明日展望</w:t>
      </w:r>
      <w:bookmarkEnd w:id="38"/>
    </w:p>
    <w:p>
      <w:pPr>
        <w:pStyle w:val="Heading3"/>
      </w:pPr>
      <w:bookmarkStart w:id="39" w:name="市场预案"/>
      <w:r>
        <w:t xml:space="preserve">📈 市场预案</w:t>
      </w:r>
      <w:bookmarkEnd w:id="39"/>
    </w:p>
    <w:p>
      <w:pPr>
        <w:numPr>
          <w:ilvl w:val="0"/>
          <w:numId w:val="1015"/>
        </w:numPr>
        <w:pStyle w:val="Compact"/>
      </w:pPr>
      <w:r>
        <w:t xml:space="preserve">🔥 偏强延续情景：科创50与创业板回踩后仍强、上涨家数维持优势、半导体设备与算力网络至少两个分支继续联动，可保持科技主线思路。</w:t>
      </w:r>
    </w:p>
    <w:p>
      <w:pPr>
        <w:numPr>
          <w:ilvl w:val="0"/>
          <w:numId w:val="1015"/>
        </w:numPr>
        <w:pStyle w:val="Compact"/>
      </w:pPr>
      <w:r>
        <w:t xml:space="preserve">🔄 高位分化情景：指数高开但科技前排冲高回落、涨停扩散停止，优先兑现后排与高弹性仓位，等待核心股换手承接。</w:t>
      </w:r>
    </w:p>
    <w:p>
      <w:pPr>
        <w:numPr>
          <w:ilvl w:val="0"/>
          <w:numId w:val="1015"/>
        </w:numPr>
        <w:pStyle w:val="Compact"/>
      </w:pPr>
      <w:r>
        <w:t xml:space="preserve">📉 修复失效情景：科创50显著回吐、涨停数快速收缩、跌停数上升，且资金流恢复后显示科技转为净流出，应把行情重新定义为单日超跌反弹。</w:t>
      </w:r>
    </w:p>
    <w:p>
      <w:pPr>
        <w:pStyle w:val="Heading3"/>
      </w:pPr>
      <w:bookmarkStart w:id="40" w:name="仓位分层"/>
      <w:r>
        <w:t xml:space="preserve">💡 仓位分层</w:t>
      </w:r>
      <w:bookmarkEnd w:id="40"/>
    </w:p>
    <w:p>
      <w:pPr>
        <w:numPr>
          <w:ilvl w:val="0"/>
          <w:numId w:val="1016"/>
        </w:numPr>
        <w:pStyle w:val="Compact"/>
      </w:pPr>
      <w:r>
        <w:t xml:space="preserve">激进：参考80%，但不建议开盘一次打满；先以60%-65%参与，只有科技前排分歧承接、指数不明显回吐、结构化资金恢复并为正时，才提高至80%。</w:t>
      </w:r>
    </w:p>
    <w:p>
      <w:pPr>
        <w:numPr>
          <w:ilvl w:val="0"/>
          <w:numId w:val="1016"/>
        </w:numPr>
        <w:pStyle w:val="Compact"/>
      </w:pPr>
      <w:r>
        <w:t xml:space="preserve">稳健：参考65%，以半导体设备、算力网络的核心辨识度标的为主，后排不追；若板块资金仍无法核验，维持50%-55%。</w:t>
      </w:r>
    </w:p>
    <w:p>
      <w:pPr>
        <w:numPr>
          <w:ilvl w:val="0"/>
          <w:numId w:val="1016"/>
        </w:numPr>
        <w:pStyle w:val="Compact"/>
      </w:pPr>
      <w:r>
        <w:t xml:space="preserve">保守：参考50%，保留防御底仓并等待主线第一次充分分歧，不在科创50单日大涨后追高。</w:t>
      </w:r>
    </w:p>
    <w:p>
      <w:pPr>
        <w:numPr>
          <w:ilvl w:val="0"/>
          <w:numId w:val="1016"/>
        </w:numPr>
        <w:pStyle w:val="Compact"/>
      </w:pPr>
      <w:r>
        <w:t xml:space="preserve">⚠️ 仓位采用</w:t>
      </w:r>
      <w:r>
        <w:rPr>
          <w:rStyle w:val="VerbatimChar"/>
        </w:rPr>
        <w:t xml:space="preserve">derived.position_model</w:t>
      </w:r>
      <w:r>
        <w:t xml:space="preserve">的80%/65%/50%与上限80%；成交额变化百分比未核验，不把所谓</w:t>
      </w:r>
      <w:r>
        <w:t xml:space="preserve">“</w:t>
      </w:r>
      <w:r>
        <w:t xml:space="preserve">放量比例</w:t>
      </w:r>
      <w:r>
        <w:t xml:space="preserve">”</w:t>
      </w:r>
      <w:r>
        <w:t xml:space="preserve">作为加仓依据。</w:t>
      </w:r>
    </w:p>
    <w:p>
      <w:pPr>
        <w:pStyle w:val="Heading3"/>
      </w:pPr>
      <w:bookmarkStart w:id="41" w:name="明日主要风险"/>
      <w:r>
        <w:t xml:space="preserve">⚠️ 明日主要风险</w:t>
      </w:r>
      <w:bookmarkEnd w:id="41"/>
    </w:p>
    <w:p>
      <w:pPr>
        <w:numPr>
          <w:ilvl w:val="0"/>
          <w:numId w:val="1017"/>
        </w:numPr>
        <w:pStyle w:val="Compact"/>
      </w:pPr>
      <w:r>
        <w:t xml:space="preserve">科技成长单日涨幅过大，半导体、CPO、元件可能出现获利兑现和前后排分化。</w:t>
      </w:r>
    </w:p>
    <w:p>
      <w:pPr>
        <w:numPr>
          <w:ilvl w:val="0"/>
          <w:numId w:val="1017"/>
        </w:numPr>
        <w:pStyle w:val="Compact"/>
      </w:pPr>
      <w:r>
        <w:t xml:space="preserve">资金流TOP10、板块TOP10、涨停样本与个股多源行情缺失，主线证据链仍有关键缺口。</w:t>
      </w:r>
    </w:p>
    <w:p>
      <w:pPr>
        <w:numPr>
          <w:ilvl w:val="0"/>
          <w:numId w:val="1017"/>
        </w:numPr>
        <w:pStyle w:val="Compact"/>
      </w:pPr>
      <w:r>
        <w:t xml:space="preserve">华泰自然语言分析只能作为补充线索；若明日新浪/东方财富/腾讯结构化数据与其冲突，以明确列示差异为准，不静默覆盖。</w:t>
      </w:r>
    </w:p>
    <w:p>
      <w:pPr>
        <w:numPr>
          <w:ilvl w:val="0"/>
          <w:numId w:val="1017"/>
        </w:numPr>
        <w:pStyle w:val="Compact"/>
      </w:pPr>
      <w:r>
        <w:t xml:space="preserve">红利、油气和医药弱势方向可能出现轮动反抽，但在资金转正前不宜抢跑；事件驱动方向还存在消息快速反转风险。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2" w:name="明日投资方向排序"/>
      <w:r>
        <w:t xml:space="preserve">🎯 明日投资方向排序</w:t>
      </w:r>
      <w:bookmarkEnd w:id="42"/>
    </w:p>
    <w:p>
      <w:pPr>
        <w:pStyle w:val="Heading3"/>
      </w:pPr>
      <w:bookmarkStart w:id="43" w:name="方向一半导体设备存储先进封装优先级高"/>
      <w:r>
        <w:t xml:space="preserve">方向一：半导体设备—存储/先进封装（优先级：高）</w:t>
      </w:r>
      <w:bookmarkEnd w:id="43"/>
    </w:p>
    <w:p>
      <w:pPr>
        <w:numPr>
          <w:ilvl w:val="0"/>
          <w:numId w:val="1018"/>
        </w:numPr>
        <w:pStyle w:val="Compact"/>
      </w:pPr>
      <w:r>
        <w:t xml:space="preserve">📌 证据链：科创50+10.7333%、创业板指+7.0537%构成成长指数确认；全市场上涨3107家、涨停119家显示下午扩散；华泰</w:t>
      </w:r>
      <w:r>
        <w:rPr>
          <w:rStyle w:val="VerbatimChar"/>
        </w:rPr>
        <w:t xml:space="preserve">query_indicator</w:t>
      </w:r>
      <w:r>
        <w:t xml:space="preserve">与</w:t>
      </w:r>
      <w:r>
        <w:rPr>
          <w:rStyle w:val="VerbatimChar"/>
        </w:rPr>
        <w:t xml:space="preserve">market_insight</w:t>
      </w:r>
      <w:r>
        <w:t xml:space="preserve">均把半导体产业链列为全天主线，并点到北方华创、长川科技、中科飞测、金海通、东芯股份等样本。板块精确涨幅、资金与涨停状态未获本地结构化复核。</w:t>
      </w:r>
    </w:p>
    <w:p>
      <w:pPr>
        <w:numPr>
          <w:ilvl w:val="0"/>
          <w:numId w:val="1018"/>
        </w:numPr>
        <w:pStyle w:val="Compact"/>
      </w:pPr>
      <w:r>
        <w:t xml:space="preserve">🔥 核心标的：北方华创（设备风向标）；长川科技、中科飞测（测试/检测设备弹性）；东芯股份（存储芯片）；雅克科技（材料与高辨识度波动样本）。</w:t>
      </w:r>
    </w:p>
    <w:p>
      <w:pPr>
        <w:numPr>
          <w:ilvl w:val="0"/>
          <w:numId w:val="1018"/>
        </w:numPr>
        <w:pStyle w:val="Compact"/>
      </w:pPr>
      <w:r>
        <w:t xml:space="preserve">💡 参与策略：激进只做前排分歧承接；稳健等设备或存储分支回踩后仍强于科创50；保守等待资金榜单恢复并确认净流入。</w:t>
      </w:r>
    </w:p>
    <w:p>
      <w:pPr>
        <w:numPr>
          <w:ilvl w:val="0"/>
          <w:numId w:val="1018"/>
        </w:numPr>
        <w:pStyle w:val="Compact"/>
      </w:pPr>
      <w:r>
        <w:t xml:space="preserve">✅ 触发条件：前排核心不集体高开低走，半导体至少两个细分继续联动，资金流恢复后为正，科创50回踩不破关键承接区。</w:t>
      </w:r>
    </w:p>
    <w:p>
      <w:pPr>
        <w:numPr>
          <w:ilvl w:val="0"/>
          <w:numId w:val="1018"/>
        </w:numPr>
        <w:pStyle w:val="Compact"/>
      </w:pPr>
      <w:r>
        <w:t xml:space="preserve">🚫 失效条件：板块前排同步跌破开盘价且不能收回，科创50明显回吐，或恢复的结构化资金显示半导体转为大额净流出。</w:t>
      </w:r>
    </w:p>
    <w:p>
      <w:pPr>
        <w:numPr>
          <w:ilvl w:val="0"/>
          <w:numId w:val="1018"/>
        </w:numPr>
        <w:pStyle w:val="Compact"/>
      </w:pPr>
      <w:r>
        <w:t xml:space="preserve">⚠️ 风险：单日涨幅过大、交易拥挤、中报预期不及预期、补充文本与真实结构化行情发生偏差。</w:t>
      </w:r>
    </w:p>
    <w:p>
      <w:pPr>
        <w:pStyle w:val="Heading3"/>
      </w:pPr>
      <w:bookmarkStart w:id="44" w:name="方向二ai算力网络交换机cpo优先级中高"/>
      <w:r>
        <w:t xml:space="preserve">方向二：AI算力网络—交换机/CPO（优先级：中高）</w:t>
      </w:r>
      <w:bookmarkEnd w:id="44"/>
    </w:p>
    <w:p>
      <w:pPr>
        <w:numPr>
          <w:ilvl w:val="0"/>
          <w:numId w:val="1019"/>
        </w:numPr>
        <w:pStyle w:val="Compact"/>
      </w:pPr>
      <w:r>
        <w:t xml:space="preserve">📌 证据链：深证成指+4.8056%、创业板指+7.0537%支持成长风险偏好；华泰收盘文本把CPO/光模块和算力租赁列为活跃方向；华泰结构化选股确认星网锐捷31.61元、+9.99%、净流入3.42亿元，紫光股份41.46元、+10.00%、净流入5498.34万元。</w:t>
      </w:r>
    </w:p>
    <w:p>
      <w:pPr>
        <w:numPr>
          <w:ilvl w:val="0"/>
          <w:numId w:val="1019"/>
        </w:numPr>
        <w:pStyle w:val="Compact"/>
      </w:pPr>
      <w:r>
        <w:t xml:space="preserve">🔥 核心标的：星网锐捷（交换机、华泰单源资金最强样本）；紫光股份（ICT设备、华泰单源涨停线索）；光迅科技、联特科技（光模块辨识度）；中嘉博创（算力租赁活跃线索）。</w:t>
      </w:r>
    </w:p>
    <w:p>
      <w:pPr>
        <w:numPr>
          <w:ilvl w:val="0"/>
          <w:numId w:val="1019"/>
        </w:numPr>
        <w:pStyle w:val="Compact"/>
      </w:pPr>
      <w:r>
        <w:t xml:space="preserve">💡 参与策略：激进优先有结构化资金线索的交换机核心；稳健等CPO与交换机同步承接；保守回避高位光模块一致性追涨。</w:t>
      </w:r>
    </w:p>
    <w:p>
      <w:pPr>
        <w:numPr>
          <w:ilvl w:val="0"/>
          <w:numId w:val="1019"/>
        </w:numPr>
        <w:pStyle w:val="Compact"/>
      </w:pPr>
      <w:r>
        <w:t xml:space="preserve">✅ 触发条件：星网锐捷或紫光股份分歧后维持强势，CPO与网络设备至少两个分支共振，板块资金不出现净流出警报。</w:t>
      </w:r>
    </w:p>
    <w:p>
      <w:pPr>
        <w:numPr>
          <w:ilvl w:val="0"/>
          <w:numId w:val="1019"/>
        </w:numPr>
        <w:pStyle w:val="Compact"/>
      </w:pPr>
      <w:r>
        <w:t xml:space="preserve">🚫 失效条件：核心股高开低走、通信分支由前排向后排同步回落，或结构化资金恢复后显示持续净流出。</w:t>
      </w:r>
    </w:p>
    <w:p>
      <w:pPr>
        <w:numPr>
          <w:ilvl w:val="0"/>
          <w:numId w:val="1019"/>
        </w:numPr>
        <w:pStyle w:val="Compact"/>
      </w:pPr>
      <w:r>
        <w:t xml:space="preserve">⚠️ 风险：CPO交易拥挤、海外AI资本开支预期变化、单源个股数据未经新浪/东财/腾讯交叉验证。</w:t>
      </w:r>
    </w:p>
    <w:p>
      <w:pPr>
        <w:pStyle w:val="Heading3"/>
      </w:pPr>
      <w:bookmarkStart w:id="45" w:name="方向三ai服务器pcb高频高速元件优先级中"/>
      <w:r>
        <w:t xml:space="preserve">方向三：AI服务器PCB—高频高速元件（优先级：中）</w:t>
      </w:r>
      <w:bookmarkEnd w:id="45"/>
    </w:p>
    <w:p>
      <w:pPr>
        <w:numPr>
          <w:ilvl w:val="0"/>
          <w:numId w:val="1020"/>
        </w:numPr>
        <w:pStyle w:val="Compact"/>
      </w:pPr>
      <w:r>
        <w:t xml:space="preserve">📌 证据链：科创50与创业板强势支持硬科技修复；华泰收盘文本把PCB/元件列为活跃方向，并点到三环集团、顺络电子、生益科技、金禄电子等；上涨家数和涨停数量下午同步扩散。反向约束是板块精确涨幅、成交额与资金流全部缺失。</w:t>
      </w:r>
    </w:p>
    <w:p>
      <w:pPr>
        <w:numPr>
          <w:ilvl w:val="0"/>
          <w:numId w:val="1020"/>
        </w:numPr>
        <w:pStyle w:val="Compact"/>
      </w:pPr>
      <w:r>
        <w:t xml:space="preserve">🔥 核心标的：生益科技（高速覆铜板材料）；顺络电子（电感/元件）；三环集团（陶瓷元件）；金禄电子（PCB弹性线索）。</w:t>
      </w:r>
    </w:p>
    <w:p>
      <w:pPr>
        <w:numPr>
          <w:ilvl w:val="0"/>
          <w:numId w:val="1020"/>
        </w:numPr>
        <w:pStyle w:val="Compact"/>
      </w:pPr>
      <w:r>
        <w:t xml:space="preserve">💡 参与策略：激进小仓参与回踩承接；稳健等待板块资金和成交额补齐；保守仅观察核心股相对强度。</w:t>
      </w:r>
    </w:p>
    <w:p>
      <w:pPr>
        <w:numPr>
          <w:ilvl w:val="0"/>
          <w:numId w:val="1020"/>
        </w:numPr>
        <w:pStyle w:val="Compact"/>
      </w:pPr>
      <w:r>
        <w:t xml:space="preserve">✅ 触发条件：元件与PCB至少两条分支继续强于指数，核心股回踩不破且成交保持活跃，结构化资金恢复后为正。</w:t>
      </w:r>
    </w:p>
    <w:p>
      <w:pPr>
        <w:numPr>
          <w:ilvl w:val="0"/>
          <w:numId w:val="1020"/>
        </w:numPr>
        <w:pStyle w:val="Compact"/>
      </w:pPr>
      <w:r>
        <w:t xml:space="preserve">🚫 失效条件：只有少数个股脉冲、后排不扩散，核心股冲高回落，或资金恢复后转负。</w:t>
      </w:r>
    </w:p>
    <w:p>
      <w:pPr>
        <w:numPr>
          <w:ilvl w:val="0"/>
          <w:numId w:val="1020"/>
        </w:numPr>
        <w:pStyle w:val="Compact"/>
      </w:pPr>
      <w:r>
        <w:t xml:space="preserve">⚠️ 风险：证据链缺少资金与板块成交确认、业绩兑现不及预期、跟风股流动性不足。</w:t>
      </w:r>
    </w:p>
    <w:p>
      <w:pPr>
        <w:pStyle w:val="Heading3"/>
      </w:pPr>
      <w:bookmarkStart w:id="46" w:name="方向四银行红利油气事件线优先级观察与回避追涨"/>
      <w:r>
        <w:t xml:space="preserve">方向四：银行红利/油气事件线（优先级：观察与回避追涨）</w:t>
      </w:r>
      <w:bookmarkEnd w:id="46"/>
    </w:p>
    <w:p>
      <w:pPr>
        <w:numPr>
          <w:ilvl w:val="0"/>
          <w:numId w:val="1021"/>
        </w:numPr>
        <w:pStyle w:val="Compact"/>
      </w:pPr>
      <w:r>
        <w:t xml:space="preserve">📌 证据链：工商银行7.56元、-2.33%，明显弱于上证指数；华泰文本把银行、油气列为弱势线索，反映资金由防御与事件方向切向成长。板块整体跌幅与资金流出金额未核验。</w:t>
      </w:r>
    </w:p>
    <w:p>
      <w:pPr>
        <w:numPr>
          <w:ilvl w:val="0"/>
          <w:numId w:val="1021"/>
        </w:numPr>
        <w:pStyle w:val="Compact"/>
      </w:pPr>
      <w:r>
        <w:t xml:space="preserve">🔥 观察标的：工商银行（红利防御自选）；中国海油、中曼石油、通源石油（盘前油气观察池，今日精确行情未核验）。</w:t>
      </w:r>
    </w:p>
    <w:p>
      <w:pPr>
        <w:numPr>
          <w:ilvl w:val="0"/>
          <w:numId w:val="1021"/>
        </w:numPr>
        <w:pStyle w:val="Compact"/>
      </w:pPr>
      <w:r>
        <w:t xml:space="preserve">💡 参与策略：激进不做逆势抄底；稳健只保留红利底仓；保守等待板块资金转正与核心股收复失地。</w:t>
      </w:r>
    </w:p>
    <w:p>
      <w:pPr>
        <w:numPr>
          <w:ilvl w:val="0"/>
          <w:numId w:val="1021"/>
        </w:numPr>
        <w:pStyle w:val="Compact"/>
      </w:pPr>
      <w:r>
        <w:t xml:space="preserve">✅ 重新参与条件：银行或油气结构化资金转正，至少两只核心强于上证指数，事件逻辑未反转。</w:t>
      </w:r>
    </w:p>
    <w:p>
      <w:pPr>
        <w:numPr>
          <w:ilvl w:val="0"/>
          <w:numId w:val="1021"/>
        </w:numPr>
        <w:pStyle w:val="Compact"/>
      </w:pPr>
      <w:r>
        <w:t xml:space="preserve">🚫 失效条件：核心继续弱于指数、资金持续流出，或油气事件溢价因局势缓和快速回吐。</w:t>
      </w:r>
    </w:p>
    <w:p>
      <w:pPr>
        <w:numPr>
          <w:ilvl w:val="0"/>
          <w:numId w:val="1021"/>
        </w:numPr>
        <w:pStyle w:val="Compact"/>
      </w:pPr>
      <w:r>
        <w:t xml:space="preserve">⚠️ 风险：风格继续偏成长、红利补跌、地缘消息反转与油价波动。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7" w:name="数据局限与执行纪律"/>
      <w:r>
        <w:t xml:space="preserve">⚠️ 数据局限与执行纪律</w:t>
      </w:r>
      <w:bookmarkEnd w:id="47"/>
    </w:p>
    <w:p>
      <w:pPr>
        <w:numPr>
          <w:ilvl w:val="0"/>
          <w:numId w:val="1022"/>
        </w:numPr>
        <w:pStyle w:val="Compact"/>
      </w:pPr>
      <w:r>
        <w:t xml:space="preserve">📉 资金流入TOP10、资金流出TOP10、领涨TOP10、领跌TOP5、结构化活跃股和涨跌停样本均缺失；报告已明确降级为</w:t>
      </w:r>
      <w:r>
        <w:t xml:space="preserve">“</w:t>
      </w:r>
      <w:r>
        <w:t xml:space="preserve">未核验</w:t>
      </w:r>
      <w:r>
        <w:t xml:space="preserve">”</w:t>
      </w:r>
      <w:r>
        <w:t xml:space="preserve">，没有用搜索或华泰文本自行补榜。</w:t>
      </w:r>
    </w:p>
    <w:p>
      <w:pPr>
        <w:numPr>
          <w:ilvl w:val="0"/>
          <w:numId w:val="1022"/>
        </w:numPr>
        <w:pStyle w:val="Compact"/>
      </w:pPr>
      <w:r>
        <w:t xml:space="preserve">🔍 指数行情为新浪、东方财富、腾讯三源一致；市场广度与成交额为同花顺完整单源，可用但已标注来源。</w:t>
      </w:r>
    </w:p>
    <w:p>
      <w:pPr>
        <w:numPr>
          <w:ilvl w:val="0"/>
          <w:numId w:val="1022"/>
        </w:numPr>
        <w:pStyle w:val="Compact"/>
      </w:pPr>
      <w:r>
        <w:t xml:space="preserve">💰 成交额比较口径为</w:t>
      </w:r>
      <w:r>
        <w:rPr>
          <w:rStyle w:val="VerbatimChar"/>
        </w:rPr>
        <w:t xml:space="preserve">unverified</w:t>
      </w:r>
      <w:r>
        <w:t xml:space="preserve">，只使用29742.01亿元、27180.75亿元、2561.26亿元等原始金额，不写变化百分比。</w:t>
      </w:r>
    </w:p>
    <w:p>
      <w:pPr>
        <w:numPr>
          <w:ilvl w:val="0"/>
          <w:numId w:val="1022"/>
        </w:numPr>
        <w:pStyle w:val="Compact"/>
      </w:pPr>
      <w:r>
        <w:t xml:space="preserve">🔎 华泰结构化自选报价和选股数据可作为补充单源事实；华泰自然语言分析只用于方向线索，不替代本地结构化数值。</w:t>
      </w:r>
    </w:p>
    <w:p>
      <w:pPr>
        <w:numPr>
          <w:ilvl w:val="0"/>
          <w:numId w:val="1022"/>
        </w:numPr>
        <w:pStyle w:val="Compact"/>
      </w:pPr>
      <w:r>
        <w:t xml:space="preserve">💡 明日执行优先级：先看科技前排分歧承接，再看资金榜单是否恢复，最后才考虑扩散到后排；任何方向触发失效条件都应降低仓位，而非用</w:t>
      </w:r>
      <w:r>
        <w:t xml:space="preserve">“</w:t>
      </w:r>
      <w:r>
        <w:t xml:space="preserve">主线信仰</w:t>
      </w:r>
      <w:r>
        <w:t xml:space="preserve">”</w:t>
      </w:r>
      <w:r>
        <w:t xml:space="preserve">硬扛。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📊 生成时间：2026-07-21 15:15（北京时间，Asia/Shanghai）</w:t>
      </w:r>
      <w:r>
        <w:t xml:space="preserve"> </w:t>
      </w:r>
      <w:r>
        <w:t xml:space="preserve">🔮 by：先知 v1.0.3 — 周先生出品</w:t>
      </w:r>
      <w:r>
        <w:t xml:space="preserve"> </w:t>
      </w:r>
      <w:r>
        <w:t xml:space="preserve">🔵 数据采集模型：local-python</w:t>
      </w:r>
      <w:r>
        <w:t xml:space="preserve"> </w:t>
      </w:r>
      <w:r>
        <w:t xml:space="preserve">🔴 分析+写稿模型：hermes</w:t>
      </w:r>
      <w:r>
        <w:t xml:space="preserve"> </w:t>
      </w:r>
      <w:r>
        <w:t xml:space="preserve">📄 文档生成：pandoc (markdown → docx)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2026-07-21T07:23:22Z</dcterms:created>
  <dcterms:modified xsi:type="dcterms:W3CDTF">2026-07-21T07:23:22Z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