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Heading1"/>
      </w:pPr>
      <w:bookmarkStart w:id="20" w:name="盘前简报-2026-07-20周一"/>
      <w:r>
        <w:t xml:space="preserve">🌅 盘前简报 | 2026-07-20（周一）</w:t>
      </w:r>
      <w:bookmarkEnd w:id="20"/>
    </w:p>
    <w:p>
      <w:r>
        <w:pict>
          <v:rect style="width:0;height:1.5pt" o:hralign="center" o:hrstd="t" o:hr="t"/>
        </w:pict>
      </w:r>
    </w:p>
    <w:p>
      <w:pPr>
        <w:pStyle w:val="Heading2"/>
      </w:pPr>
      <w:bookmarkStart w:id="21" w:name="隔夜全球市场"/>
      <w:r>
        <w:t xml:space="preserve">🌐 隔夜全球市场</w:t>
      </w:r>
      <w:bookmarkEnd w:id="21"/>
    </w:p>
    <w:p>
      <w:pPr>
        <w:numPr>
          <w:ilvl w:val="0"/>
          <w:numId w:val="1001"/>
        </w:numPr>
        <w:pStyle w:val="Compact"/>
      </w:pPr>
      <w:r>
        <w:t xml:space="preserve">📈 富时中国A50期指报14434.7点、+0.72%，对A股开盘修复有一定正向指引，但不足以单独确认反转。</w:t>
      </w:r>
    </w:p>
    <w:p>
      <w:pPr>
        <w:numPr>
          <w:ilvl w:val="0"/>
          <w:numId w:val="1001"/>
        </w:numPr>
        <w:pStyle w:val="Compact"/>
      </w:pPr>
      <w:r>
        <w:t xml:space="preserve">📉 恒生指数上一交易日收25008.6点、-1.78%；该数据为7月17日收盘，不是今日港股早盘行情，今日港股开盘表现未核验。</w:t>
      </w:r>
    </w:p>
    <w:p>
      <w:pPr>
        <w:numPr>
          <w:ilvl w:val="0"/>
          <w:numId w:val="1001"/>
        </w:numPr>
        <w:pStyle w:val="Compact"/>
      </w:pPr>
      <w:r>
        <w:t xml:space="preserve">💱 美元离岸人民币报6.7755、-0.04%，人民币波动有限；COMEX黄金报4005.864、-0.32%，WTI原油报83.644、+2.28%，伦铜报13522.2、-0.02%。</w:t>
      </w:r>
    </w:p>
    <w:p>
      <w:pPr>
        <w:numPr>
          <w:ilvl w:val="0"/>
          <w:numId w:val="1001"/>
        </w:numPr>
        <w:pStyle w:val="Compact"/>
      </w:pPr>
      <w:r>
        <w:t xml:space="preserve">⚠️ 采集JSON未提供美股三大指数、欧洲股市及重点中概股的结构化行情，具体点位与涨跌幅均标记为未核验，不以搜索数据补写。</w:t>
      </w:r>
    </w:p>
    <w:p>
      <w:pPr>
        <w:numPr>
          <w:ilvl w:val="0"/>
          <w:numId w:val="1001"/>
        </w:numPr>
        <w:pStyle w:val="Compact"/>
      </w:pPr>
      <w:r>
        <w:t xml:space="preserve">🛢️ 原油显著走强与美伊冲突升级共振，油气、油运具备事件溢价；航空、化工下游面临成本风险，但高开后兑现风险同样上升。</w:t>
      </w:r>
    </w:p>
    <w:p>
      <w:r>
        <w:pict>
          <v:rect style="width:0;height:1.5pt" o:hralign="center" o:hrstd="t" o:hr="t"/>
        </w:pict>
      </w:r>
    </w:p>
    <w:p>
      <w:pPr>
        <w:pStyle w:val="Heading2"/>
      </w:pPr>
      <w:bookmarkStart w:id="22" w:name="新闻联播政策面"/>
      <w:r>
        <w:t xml:space="preserve">📺 新闻联播政策面</w:t>
      </w:r>
      <w:bookmarkEnd w:id="22"/>
    </w:p>
    <w:p>
      <w:pPr>
        <w:pStyle w:val="BlockText"/>
      </w:pPr>
      <w:r>
        <w:t xml:space="preserve">数据核验：央视《新闻联播》播出日期为2026-07-19，采集时间2026-07-20 08:30:18；节目目录11条、详情成功11条，数量一致。来源为央视网，存档路径为</w:t>
      </w:r>
      <w:r>
        <w:rPr>
          <w:rStyle w:val="VerbatimChar"/>
        </w:rPr>
        <w:t xml:space="preserve">memory/xinwenlianbo/2026-07-19.md</w:t>
      </w:r>
      <w:r>
        <w:t xml:space="preserve">。</w:t>
      </w:r>
    </w:p>
    <w:p>
      <w:pPr>
        <w:pStyle w:val="Heading3"/>
      </w:pPr>
      <w:bookmarkStart w:id="23" w:name="总体分析"/>
      <w:r>
        <w:t xml:space="preserve">📌 总体分析</w:t>
      </w:r>
      <w:bookmarkEnd w:id="23"/>
    </w:p>
    <w:p>
      <w:pPr>
        <w:numPr>
          <w:ilvl w:val="0"/>
          <w:numId w:val="1002"/>
        </w:numPr>
        <w:pStyle w:val="Compact"/>
      </w:pPr>
      <w:r>
        <w:t xml:space="preserve">🏙️ 城市更新是最清晰的国内政策主线。《城市更新</w:t>
      </w:r>
      <w:r>
        <w:t xml:space="preserve">“</w:t>
      </w:r>
      <w:r>
        <w:t xml:space="preserve">十五五</w:t>
      </w:r>
      <w:r>
        <w:t xml:space="preserve">”</w:t>
      </w:r>
      <w:r>
        <w:t xml:space="preserve">规划》《美丽中国建设</w:t>
      </w:r>
      <w:r>
        <w:t xml:space="preserve">“</w:t>
      </w:r>
      <w:r>
        <w:t xml:space="preserve">十五五</w:t>
      </w:r>
      <w:r>
        <w:t xml:space="preserve">”</w:t>
      </w:r>
      <w:r>
        <w:t xml:space="preserve">规划》已印发，并披露地下管网、低效用地再开发等实物量线索；城市更新、地下管网、智慧城市与生态治理可跟踪，但必须等待资金确认。</w:t>
      </w:r>
    </w:p>
    <w:p>
      <w:pPr>
        <w:numPr>
          <w:ilvl w:val="0"/>
          <w:numId w:val="1002"/>
        </w:numPr>
        <w:pStyle w:val="Compact"/>
      </w:pPr>
      <w:r>
        <w:t xml:space="preserve">🤖 世界人工智能大会继续强化AI应用、具身智能、大模型和机器人中试平台，不过7月17日电子净流出532.09亿元、半导体净流出250.63亿元、通信净流出200.10亿元，政策催化与资金退潮冲突，今日只做修复确认，不抢反弹。</w:t>
      </w:r>
    </w:p>
    <w:p>
      <w:pPr>
        <w:numPr>
          <w:ilvl w:val="0"/>
          <w:numId w:val="1002"/>
        </w:numPr>
        <w:pStyle w:val="Compact"/>
      </w:pPr>
      <w:r>
        <w:t xml:space="preserve">⚡ 国家物流枢纽数字化、绿色化取得进展，181个枢纽、超九成应用智能设施设备、超七成配备新能源载货汽车，为智能物流、物流装备和新能源商用车提供中期映射。</w:t>
      </w:r>
    </w:p>
    <w:p>
      <w:pPr>
        <w:numPr>
          <w:ilvl w:val="0"/>
          <w:numId w:val="1002"/>
        </w:numPr>
        <w:pStyle w:val="Compact"/>
      </w:pPr>
      <w:r>
        <w:t xml:space="preserve">🚀 神舟二十三号在轨科研与新型空间储能电池验证，为航天装备、空间应用和新型储能提供产业线索；当前缺少对应板块资金数据，只能列为事件观察。</w:t>
      </w:r>
    </w:p>
    <w:p>
      <w:pPr>
        <w:numPr>
          <w:ilvl w:val="0"/>
          <w:numId w:val="1002"/>
        </w:numPr>
        <w:pStyle w:val="Compact"/>
      </w:pPr>
      <w:r>
        <w:t xml:space="preserve">🛢️ 美伊连续相互打击、霍尔木兹运输风险延续，WTI原油+2.28%；油气上游和油运偏受益，航空、部分化工下游承压，若冲突缓和或油价回落则事件逻辑迅速失效。</w:t>
      </w:r>
    </w:p>
    <w:p>
      <w:pPr>
        <w:numPr>
          <w:ilvl w:val="0"/>
          <w:numId w:val="1002"/>
        </w:numPr>
        <w:pStyle w:val="Compact"/>
      </w:pPr>
      <w:r>
        <w:t xml:space="preserve">⚠️ 政策面结构性偏多，但7月17日市场5001只下跌、198只跌停，当前首要任务仍是验证流动性与跌停风险是否收敛，而不是将政策信号直接等同于全面反转。</w:t>
      </w:r>
    </w:p>
    <w:p>
      <w:pPr>
        <w:pStyle w:val="Heading3"/>
      </w:pPr>
      <w:bookmarkStart w:id="24" w:name="逐条新闻解读"/>
      <w:r>
        <w:t xml:space="preserve">📰 逐条新闻解读</w:t>
      </w:r>
      <w:bookmarkEnd w:id="24"/>
    </w:p>
    <w:p>
      <w:pPr>
        <w:pStyle w:val="Heading4"/>
      </w:pPr>
      <w:bookmarkStart w:id="25" w:name="新思想引领新征程以人民为中心-绘就现代化城市民生幸福新画卷"/>
      <w:r>
        <w:t xml:space="preserve">【新思想引领新征程】以人民为中心 绘就现代化城市民生幸福新画卷</w:t>
      </w:r>
      <w:bookmarkEnd w:id="25"/>
    </w:p>
    <w:p>
      <w:pPr>
        <w:numPr>
          <w:ilvl w:val="0"/>
          <w:numId w:val="1003"/>
        </w:numPr>
        <w:pStyle w:val="Compact"/>
      </w:pPr>
      <w:r>
        <w:t xml:space="preserve">A股影响：偏利好</w:t>
      </w:r>
    </w:p>
    <w:p>
      <w:pPr>
        <w:numPr>
          <w:ilvl w:val="0"/>
          <w:numId w:val="1003"/>
        </w:numPr>
        <w:pStyle w:val="Compact"/>
      </w:pPr>
      <w:r>
        <w:t xml:space="preserve">相关板块：城市更新、地下管网、智慧城市、园林生态、装配式建筑</w:t>
      </w:r>
    </w:p>
    <w:p>
      <w:pPr>
        <w:numPr>
          <w:ilvl w:val="0"/>
          <w:numId w:val="1003"/>
        </w:numPr>
        <w:pStyle w:val="Compact"/>
      </w:pPr>
      <w:r>
        <w:t xml:space="preserve">核心解读：《城市更新</w:t>
      </w:r>
      <w:r>
        <w:t xml:space="preserve">“</w:t>
      </w:r>
      <w:r>
        <w:t xml:space="preserve">十五五</w:t>
      </w:r>
      <w:r>
        <w:t xml:space="preserve">”</w:t>
      </w:r>
      <w:r>
        <w:t xml:space="preserve">规划》《美丽中国建设</w:t>
      </w:r>
      <w:r>
        <w:t xml:space="preserve">“</w:t>
      </w:r>
      <w:r>
        <w:t xml:space="preserve">十五五</w:t>
      </w:r>
      <w:r>
        <w:t xml:space="preserve">”</w:t>
      </w:r>
      <w:r>
        <w:t xml:space="preserve">规划》已印发；120个城市开展低效用地再开发试点，2025年建设改造地下管网和综合管廊15.6万公里，政策已从理念延伸到规划与实物量。</w:t>
      </w:r>
    </w:p>
    <w:p>
      <w:pPr>
        <w:numPr>
          <w:ilvl w:val="0"/>
          <w:numId w:val="1003"/>
        </w:numPr>
        <w:pStyle w:val="Compact"/>
      </w:pPr>
      <w:r>
        <w:t xml:space="preserve">验证条件：城市更新、管网和智慧城市板块出现资金净流入、成交扩散及项目订单；若仅高开脉冲而无资金承接，短线映射失效。</w:t>
      </w:r>
    </w:p>
    <w:p>
      <w:pPr>
        <w:pStyle w:val="Heading4"/>
      </w:pPr>
      <w:bookmarkStart w:id="26" w:name="李希在重庆调研"/>
      <w:r>
        <w:t xml:space="preserve">李希在重庆调研</w:t>
      </w:r>
      <w:bookmarkEnd w:id="26"/>
    </w:p>
    <w:p>
      <w:pPr>
        <w:numPr>
          <w:ilvl w:val="0"/>
          <w:numId w:val="1004"/>
        </w:numPr>
        <w:pStyle w:val="Compact"/>
      </w:pPr>
      <w:r>
        <w:t xml:space="preserve">A股影响：中性</w:t>
      </w:r>
    </w:p>
    <w:p>
      <w:pPr>
        <w:numPr>
          <w:ilvl w:val="0"/>
          <w:numId w:val="1004"/>
        </w:numPr>
        <w:pStyle w:val="Compact"/>
      </w:pPr>
      <w:r>
        <w:t xml:space="preserve">相关板块：国企治理、防汛应急；无直接短线映射</w:t>
      </w:r>
    </w:p>
    <w:p>
      <w:pPr>
        <w:numPr>
          <w:ilvl w:val="0"/>
          <w:numId w:val="1004"/>
        </w:numPr>
        <w:pStyle w:val="Compact"/>
      </w:pPr>
      <w:r>
        <w:t xml:space="preserve">核心解读：调研聚焦纪检监察、基层治理、国企廉政和防灾责任，主要是治理与执行约束，并未披露新增产业预算或上市公司订单。</w:t>
      </w:r>
    </w:p>
    <w:p>
      <w:pPr>
        <w:numPr>
          <w:ilvl w:val="0"/>
          <w:numId w:val="1004"/>
        </w:numPr>
        <w:pStyle w:val="Compact"/>
      </w:pPr>
      <w:r>
        <w:t xml:space="preserve">验证条件：后续若有国企治理制度、防汛项目或采购落地再评估；没有增量政策时不作为交易依据。</w:t>
      </w:r>
    </w:p>
    <w:p>
      <w:pPr>
        <w:pStyle w:val="Heading4"/>
      </w:pPr>
      <w:bookmarkStart w:id="27" w:name="树立和践行正确政绩观为民造福-真抓实干-推动学习教育见行见效"/>
      <w:r>
        <w:t xml:space="preserve">【树立和践行正确政绩观】为民造福 真抓实干 推动学习教育见行见效</w:t>
      </w:r>
      <w:bookmarkEnd w:id="27"/>
    </w:p>
    <w:p>
      <w:pPr>
        <w:numPr>
          <w:ilvl w:val="0"/>
          <w:numId w:val="1005"/>
        </w:numPr>
        <w:pStyle w:val="Compact"/>
      </w:pPr>
      <w:r>
        <w:t xml:space="preserve">A股影响：偏利好</w:t>
      </w:r>
    </w:p>
    <w:p>
      <w:pPr>
        <w:numPr>
          <w:ilvl w:val="0"/>
          <w:numId w:val="1005"/>
        </w:numPr>
        <w:pStyle w:val="Compact"/>
      </w:pPr>
      <w:r>
        <w:t xml:space="preserve">相关板块：城中村改造、充电桩、停车设施、园林建设</w:t>
      </w:r>
    </w:p>
    <w:p>
      <w:pPr>
        <w:numPr>
          <w:ilvl w:val="0"/>
          <w:numId w:val="1005"/>
        </w:numPr>
        <w:pStyle w:val="Compact"/>
      </w:pPr>
      <w:r>
        <w:t xml:space="preserve">核心解读：吉安推进48个城中村改造和城市微更新项目、建设62处休闲场所，西宁同步推进老旧小区和停车位改造，构成城市更新的基层项目样本。</w:t>
      </w:r>
    </w:p>
    <w:p>
      <w:pPr>
        <w:numPr>
          <w:ilvl w:val="0"/>
          <w:numId w:val="1005"/>
        </w:numPr>
        <w:pStyle w:val="Compact"/>
      </w:pPr>
      <w:r>
        <w:t xml:space="preserve">验证条件：地方专项资金、招标和开工数据继续落地，并带动建筑、充电设施或智慧停车板块量价共振；缺少订单时仅作政策观察。</w:t>
      </w:r>
    </w:p>
    <w:p>
      <w:pPr>
        <w:pStyle w:val="Heading4"/>
      </w:pPr>
      <w:bookmarkStart w:id="28" w:name="国家四部门部署做好地质灾害风险隐患巡查排查工作"/>
      <w:r>
        <w:t xml:space="preserve">国家四部门部署做好地质灾害风险隐患巡查排查工作</w:t>
      </w:r>
      <w:bookmarkEnd w:id="28"/>
    </w:p>
    <w:p>
      <w:pPr>
        <w:numPr>
          <w:ilvl w:val="0"/>
          <w:numId w:val="1006"/>
        </w:numPr>
        <w:pStyle w:val="Compact"/>
      </w:pPr>
      <w:r>
        <w:t xml:space="preserve">A股影响：结构性利好</w:t>
      </w:r>
    </w:p>
    <w:p>
      <w:pPr>
        <w:numPr>
          <w:ilvl w:val="0"/>
          <w:numId w:val="1006"/>
        </w:numPr>
        <w:pStyle w:val="Compact"/>
      </w:pPr>
      <w:r>
        <w:t xml:space="preserve">相关板块：地灾监测、水利防汛、应急装备、北斗测绘</w:t>
      </w:r>
    </w:p>
    <w:p>
      <w:pPr>
        <w:numPr>
          <w:ilvl w:val="0"/>
          <w:numId w:val="1006"/>
        </w:numPr>
        <w:pStyle w:val="Compact"/>
      </w:pPr>
      <w:r>
        <w:t xml:space="preserve">核心解读：四部门紧急通知要求重点区域逐一排查、加密巡查并强化监测预警，可能提升监测设备、应急通信和抢险服务需求。</w:t>
      </w:r>
    </w:p>
    <w:p>
      <w:pPr>
        <w:numPr>
          <w:ilvl w:val="0"/>
          <w:numId w:val="1006"/>
        </w:numPr>
        <w:pStyle w:val="Compact"/>
      </w:pPr>
      <w:r>
        <w:t xml:space="preserve">验证条件：相关板块放量并出现采购或订单信息；若降雨风险缓解、资金未响应或题材高开低走，则事件交易失效。</w:t>
      </w:r>
    </w:p>
    <w:p>
      <w:pPr>
        <w:pStyle w:val="Heading4"/>
      </w:pPr>
      <w:bookmarkStart w:id="29" w:name="我国国家物流枢纽发展取得明显成效"/>
      <w:r>
        <w:t xml:space="preserve">我国国家物流枢纽发展取得明显成效</w:t>
      </w:r>
      <w:bookmarkEnd w:id="29"/>
    </w:p>
    <w:p>
      <w:pPr>
        <w:numPr>
          <w:ilvl w:val="0"/>
          <w:numId w:val="1007"/>
        </w:numPr>
        <w:pStyle w:val="Compact"/>
      </w:pPr>
      <w:r>
        <w:t xml:space="preserve">A股影响：偏利好</w:t>
      </w:r>
    </w:p>
    <w:p>
      <w:pPr>
        <w:numPr>
          <w:ilvl w:val="0"/>
          <w:numId w:val="1007"/>
        </w:numPr>
        <w:pStyle w:val="Compact"/>
      </w:pPr>
      <w:r>
        <w:t xml:space="preserve">相关板块：智能物流、物流自动化、新能源商用车、铁路物流</w:t>
      </w:r>
    </w:p>
    <w:p>
      <w:pPr>
        <w:numPr>
          <w:ilvl w:val="0"/>
          <w:numId w:val="1007"/>
        </w:numPr>
        <w:pStyle w:val="Compact"/>
      </w:pPr>
      <w:r>
        <w:t xml:space="preserve">核心解读：我国已有181个国家物流枢纽，2025年平均货物吞吐量同比增长5.5%；超九成枢纽使用智能设施、超七成配备新能源载货汽车，数字化与绿色物流方向明确。</w:t>
      </w:r>
    </w:p>
    <w:p>
      <w:pPr>
        <w:numPr>
          <w:ilvl w:val="0"/>
          <w:numId w:val="1007"/>
        </w:numPr>
        <w:pStyle w:val="Compact"/>
      </w:pPr>
      <w:r>
        <w:t xml:space="preserve">验证条件：物流装备、新能源商用车和铁路物流获得资金流入并出现设备更新订单；若板块成交低迷或盈利兑现不足，维持中期观察。</w:t>
      </w:r>
    </w:p>
    <w:p>
      <w:pPr>
        <w:pStyle w:val="Heading4"/>
      </w:pPr>
      <w:bookmarkStart w:id="30" w:name="七一勋章获得者吾哈斯苏来曼马背上的健康卫士"/>
      <w:r>
        <w:t xml:space="preserve">“</w:t>
      </w:r>
      <w:r>
        <w:t xml:space="preserve">七一勋章</w:t>
      </w:r>
      <w:r>
        <w:t xml:space="preserve">”</w:t>
      </w:r>
      <w:r>
        <w:t xml:space="preserve">获得者吾哈斯·苏来曼：马背上的健康卫士</w:t>
      </w:r>
      <w:bookmarkEnd w:id="30"/>
    </w:p>
    <w:p>
      <w:pPr>
        <w:numPr>
          <w:ilvl w:val="0"/>
          <w:numId w:val="1008"/>
        </w:numPr>
        <w:pStyle w:val="Compact"/>
      </w:pPr>
      <w:r>
        <w:t xml:space="preserve">A股影响：中性</w:t>
      </w:r>
    </w:p>
    <w:p>
      <w:pPr>
        <w:numPr>
          <w:ilvl w:val="0"/>
          <w:numId w:val="1008"/>
        </w:numPr>
        <w:pStyle w:val="Compact"/>
      </w:pPr>
      <w:r>
        <w:t xml:space="preserve">相关板块：基层医疗；无直接短线映射</w:t>
      </w:r>
    </w:p>
    <w:p>
      <w:pPr>
        <w:numPr>
          <w:ilvl w:val="0"/>
          <w:numId w:val="1008"/>
        </w:numPr>
        <w:pStyle w:val="Compact"/>
      </w:pPr>
      <w:r>
        <w:t xml:space="preserve">核心解读：内容聚焦先进人物与基层医疗服务，具有社会价值，但没有医疗采购、医保支付或产业增量政策。</w:t>
      </w:r>
    </w:p>
    <w:p>
      <w:pPr>
        <w:numPr>
          <w:ilvl w:val="0"/>
          <w:numId w:val="1008"/>
        </w:numPr>
        <w:pStyle w:val="Compact"/>
      </w:pPr>
      <w:r>
        <w:t xml:space="preserve">验证条件：需等待基层医疗建设或公共卫生投入的具体政策；否则不据此交易。</w:t>
      </w:r>
    </w:p>
    <w:p>
      <w:pPr>
        <w:pStyle w:val="Heading4"/>
      </w:pPr>
      <w:bookmarkStart w:id="31" w:name="神舟二十三号乘组在轨近两月-各项工作有序推进"/>
      <w:r>
        <w:t xml:space="preserve">神舟二十三号乘组在轨近两月 各项工作有序推进</w:t>
      </w:r>
      <w:bookmarkEnd w:id="31"/>
    </w:p>
    <w:p>
      <w:pPr>
        <w:numPr>
          <w:ilvl w:val="0"/>
          <w:numId w:val="1009"/>
        </w:numPr>
        <w:pStyle w:val="Compact"/>
      </w:pPr>
      <w:r>
        <w:t xml:space="preserve">A股影响：偏利好</w:t>
      </w:r>
    </w:p>
    <w:p>
      <w:pPr>
        <w:numPr>
          <w:ilvl w:val="0"/>
          <w:numId w:val="1009"/>
        </w:numPr>
        <w:pStyle w:val="Compact"/>
      </w:pPr>
      <w:r>
        <w:t xml:space="preserve">相关板块：航天装备、空间应用、新型储能电池、航天医学</w:t>
      </w:r>
    </w:p>
    <w:p>
      <w:pPr>
        <w:numPr>
          <w:ilvl w:val="0"/>
          <w:numId w:val="1009"/>
        </w:numPr>
        <w:pStyle w:val="Compact"/>
      </w:pPr>
      <w:r>
        <w:t xml:space="preserve">核心解读：100余项科学与应用项目陆续展开，并验证新型空间储能电池，强化商业航天和空间科研产业预期，但采集JSON没有对应板块资金流证据。</w:t>
      </w:r>
    </w:p>
    <w:p>
      <w:pPr>
        <w:numPr>
          <w:ilvl w:val="0"/>
          <w:numId w:val="1009"/>
        </w:numPr>
        <w:pStyle w:val="Compact"/>
      </w:pPr>
      <w:r>
        <w:t xml:space="preserve">验证条件：航天装备或空间应用板块放量、核心股获得持续资金流入，并出现项目或订单兑现；无资金共振时仅跟踪。</w:t>
      </w:r>
    </w:p>
    <w:p>
      <w:pPr>
        <w:pStyle w:val="Heading4"/>
      </w:pPr>
      <w:bookmarkStart w:id="32" w:name="新闻特写连接彼此-共创未来"/>
      <w:r>
        <w:t xml:space="preserve">【新闻特写】连接彼此 共创未来</w:t>
      </w:r>
      <w:bookmarkEnd w:id="32"/>
    </w:p>
    <w:p>
      <w:pPr>
        <w:numPr>
          <w:ilvl w:val="0"/>
          <w:numId w:val="1010"/>
        </w:numPr>
        <w:pStyle w:val="Compact"/>
      </w:pPr>
      <w:r>
        <w:t xml:space="preserve">A股影响：偏利好</w:t>
      </w:r>
    </w:p>
    <w:p>
      <w:pPr>
        <w:numPr>
          <w:ilvl w:val="0"/>
          <w:numId w:val="1010"/>
        </w:numPr>
        <w:pStyle w:val="Compact"/>
      </w:pPr>
      <w:r>
        <w:t xml:space="preserve">相关板块：AI应用、具身智能、大模型、机器人、科技出海</w:t>
      </w:r>
    </w:p>
    <w:p>
      <w:pPr>
        <w:numPr>
          <w:ilvl w:val="0"/>
          <w:numId w:val="1010"/>
        </w:numPr>
        <w:pStyle w:val="Compact"/>
      </w:pPr>
      <w:r>
        <w:t xml:space="preserve">核心解读：世界人工智能大会体现产品、用户、投资人和海外需求的场景连接，对AI商业化和出海有正向意义；但上一交易日科技硬件出现大规模资金流出，短线需区分应用端和高位硬件。</w:t>
      </w:r>
    </w:p>
    <w:p>
      <w:pPr>
        <w:numPr>
          <w:ilvl w:val="0"/>
          <w:numId w:val="1010"/>
        </w:numPr>
        <w:pStyle w:val="Compact"/>
      </w:pPr>
      <w:r>
        <w:t xml:space="preserve">验证条件：AI应用与机器人板块率先止跌、资金转正且核心股不高开低走；若电子和通信抛压继续扩散，催化交易降级。</w:t>
      </w:r>
    </w:p>
    <w:p>
      <w:pPr>
        <w:pStyle w:val="Heading4"/>
      </w:pPr>
      <w:bookmarkStart w:id="33" w:name="国内联播快讯"/>
      <w:r>
        <w:t xml:space="preserve">国内联播快讯</w:t>
      </w:r>
      <w:bookmarkEnd w:id="33"/>
    </w:p>
    <w:p>
      <w:pPr>
        <w:numPr>
          <w:ilvl w:val="0"/>
          <w:numId w:val="1011"/>
        </w:numPr>
        <w:pStyle w:val="Compact"/>
      </w:pPr>
      <w:r>
        <w:t xml:space="preserve">A股影响：结构性利好</w:t>
      </w:r>
    </w:p>
    <w:p>
      <w:pPr>
        <w:numPr>
          <w:ilvl w:val="0"/>
          <w:numId w:val="1011"/>
        </w:numPr>
        <w:pStyle w:val="Compact"/>
      </w:pPr>
      <w:r>
        <w:t xml:space="preserve">相关板块：人形机器人、AI基础设施、外贸、油气、煤化工、影视消费</w:t>
      </w:r>
    </w:p>
    <w:p>
      <w:pPr>
        <w:numPr>
          <w:ilvl w:val="0"/>
          <w:numId w:val="1011"/>
        </w:numPr>
        <w:pStyle w:val="Compact"/>
      </w:pPr>
      <w:r>
        <w:t xml:space="preserve">核心解读：上海人形机器人中试平台启用；深圳上半年进出口2.88万亿元、同比增长33%；西南油气田产量创新高；煤制油项目完成智能化改造；2026年电影票房突破200亿元，形成多条可验证产业线索。</w:t>
      </w:r>
    </w:p>
    <w:p>
      <w:pPr>
        <w:numPr>
          <w:ilvl w:val="0"/>
          <w:numId w:val="1011"/>
        </w:numPr>
        <w:pStyle w:val="Compact"/>
      </w:pPr>
      <w:r>
        <w:t xml:space="preserve">验证条件：机器人、油气、煤化工或影视至少一个分支出现资金与成交共振；快讯包含多个方向，禁止把它们合并为统一主线。</w:t>
      </w:r>
    </w:p>
    <w:p>
      <w:pPr>
        <w:pStyle w:val="Heading4"/>
      </w:pPr>
      <w:bookmarkStart w:id="34" w:name="美伊持续相互打击对方目标-伊朗称美违反承诺伊方已停止履行谅解备忘录"/>
      <w:r>
        <w:t xml:space="preserve">美伊持续相互打击对方目标 伊朗称美违反承诺伊方已停止履行谅解备忘录</w:t>
      </w:r>
      <w:bookmarkEnd w:id="34"/>
    </w:p>
    <w:p>
      <w:pPr>
        <w:numPr>
          <w:ilvl w:val="0"/>
          <w:numId w:val="1012"/>
        </w:numPr>
        <w:pStyle w:val="Compact"/>
      </w:pPr>
      <w:r>
        <w:t xml:space="preserve">A股影响：结构性利好与利空并存</w:t>
      </w:r>
    </w:p>
    <w:p>
      <w:pPr>
        <w:numPr>
          <w:ilvl w:val="0"/>
          <w:numId w:val="1012"/>
        </w:numPr>
        <w:pStyle w:val="Compact"/>
      </w:pPr>
      <w:r>
        <w:t xml:space="preserve">相关板块：油气、油运、军工；航空、化工下游偏利空</w:t>
      </w:r>
    </w:p>
    <w:p>
      <w:pPr>
        <w:numPr>
          <w:ilvl w:val="0"/>
          <w:numId w:val="1012"/>
        </w:numPr>
        <w:pStyle w:val="Compact"/>
      </w:pPr>
      <w:r>
        <w:t xml:space="preserve">核心解读：美伊连续相互攻击军事与基础设施目标，伊方停止履行谅解备忘录，冲突升级推升能源供应风险；WTI原油报83.644、+2.28%，资产价格已体现事件溢价。</w:t>
      </w:r>
    </w:p>
    <w:p>
      <w:pPr>
        <w:numPr>
          <w:ilvl w:val="0"/>
          <w:numId w:val="1012"/>
        </w:numPr>
        <w:pStyle w:val="Compact"/>
      </w:pPr>
      <w:r>
        <w:t xml:space="preserve">验证条件：原油继续走强且A股油气、油运放量；若停火信号出现、油价转跌或板块高开低走，立即降低事件仓位。</w:t>
      </w:r>
    </w:p>
    <w:p>
      <w:pPr>
        <w:pStyle w:val="Heading4"/>
      </w:pPr>
      <w:bookmarkStart w:id="35" w:name="国际联播快讯"/>
      <w:r>
        <w:t xml:space="preserve">国际联播快讯</w:t>
      </w:r>
      <w:bookmarkEnd w:id="35"/>
    </w:p>
    <w:p>
      <w:pPr>
        <w:numPr>
          <w:ilvl w:val="0"/>
          <w:numId w:val="1013"/>
        </w:numPr>
        <w:pStyle w:val="Compact"/>
      </w:pPr>
      <w:r>
        <w:t xml:space="preserve">A股影响：中性偏风险</w:t>
      </w:r>
    </w:p>
    <w:p>
      <w:pPr>
        <w:numPr>
          <w:ilvl w:val="0"/>
          <w:numId w:val="1013"/>
        </w:numPr>
        <w:pStyle w:val="Compact"/>
      </w:pPr>
      <w:r>
        <w:t xml:space="preserve">相关板块：油运、军工、物流、防火应急</w:t>
      </w:r>
    </w:p>
    <w:p>
      <w:pPr>
        <w:numPr>
          <w:ilvl w:val="0"/>
          <w:numId w:val="1013"/>
        </w:numPr>
        <w:pStyle w:val="Compact"/>
      </w:pPr>
      <w:r>
        <w:t xml:space="preserve">核心解读：俄乌相互打击物流设施，伊拉克拟重修通往叙利亚地中海的输油管道以应对霍尔木兹运输受阻，西班牙林火扩大；全球物流和能源安全风险继续上升。</w:t>
      </w:r>
    </w:p>
    <w:p>
      <w:pPr>
        <w:numPr>
          <w:ilvl w:val="0"/>
          <w:numId w:val="1013"/>
        </w:numPr>
        <w:pStyle w:val="Compact"/>
      </w:pPr>
      <w:r>
        <w:t xml:space="preserve">验证条件：观察油价、航运价格及军工板块是否形成持续共振；若相关资产不响应或局势缓和，不追逐事件题材。</w:t>
      </w:r>
    </w:p>
    <w:p>
      <w:r>
        <w:pict>
          <v:rect style="width:0;height:1.5pt" o:hralign="center" o:hrstd="t" o:hr="t"/>
        </w:pict>
      </w:r>
    </w:p>
    <w:p>
      <w:pPr>
        <w:pStyle w:val="Heading2"/>
      </w:pPr>
      <w:bookmarkStart w:id="36" w:name="今日重要公告"/>
      <w:r>
        <w:t xml:space="preserve">📋 今日重要公告</w:t>
      </w:r>
      <w:bookmarkEnd w:id="36"/>
    </w:p>
    <w:p>
      <w:pPr>
        <w:numPr>
          <w:ilvl w:val="0"/>
          <w:numId w:val="1014"/>
        </w:numPr>
        <w:pStyle w:val="Compact"/>
      </w:pPr>
      <w:r>
        <w:t xml:space="preserve">📈 国电南瑞（600406）披露董事长提议回购公司部分股份，属于信心支持；回购规模、价格上限与实施进度未在采集JSON展开，需阅读公告原文后判断力度。</w:t>
      </w:r>
    </w:p>
    <w:p>
      <w:pPr>
        <w:numPr>
          <w:ilvl w:val="0"/>
          <w:numId w:val="1014"/>
        </w:numPr>
        <w:pStyle w:val="Compact"/>
      </w:pPr>
      <w:r>
        <w:t xml:space="preserve">📈 国联民生（601456）筹划回购A股，帝尔激光（300776）董事会秘书披露增持计划；均偏正面，但不得在未核验金额和期限时把计划等同于已完成。</w:t>
      </w:r>
    </w:p>
    <w:p>
      <w:pPr>
        <w:numPr>
          <w:ilvl w:val="0"/>
          <w:numId w:val="1014"/>
        </w:numPr>
        <w:pStyle w:val="Compact"/>
      </w:pPr>
      <w:r>
        <w:t xml:space="preserve">🔄 中国石化（600028）、领益智造（002600）、美的集团（000333）、宏华数科（688789）、软通动力（301236）、嘉泽新能（601619）披露回购进展，重点核对实际成交数量与金额。</w:t>
      </w:r>
    </w:p>
    <w:p>
      <w:pPr>
        <w:numPr>
          <w:ilvl w:val="0"/>
          <w:numId w:val="1014"/>
        </w:numPr>
        <w:pStyle w:val="Compact"/>
      </w:pPr>
      <w:r>
        <w:t xml:space="preserve">📊 富创精密（688409）、传音控股（688036）、美迪西（688202）、同花顺（300033）、国际复材（301526）、力源信息（300184）、铜冠铜箔（301217）、特锐德（300001）披露半年度业绩预告；采集JSON仅有公告标题，没有盈利数值，禁止据此判断超预期。</w:t>
      </w:r>
    </w:p>
    <w:p>
      <w:pPr>
        <w:numPr>
          <w:ilvl w:val="0"/>
          <w:numId w:val="1014"/>
        </w:numPr>
        <w:pStyle w:val="Compact"/>
      </w:pPr>
      <w:r>
        <w:t xml:space="preserve">⚡ 国电电力（600795）、龙源电力（001289）披露经营相关公告，能源防御线可重点核对发电量、利用小时及电价变化；当前具体数据未核验。</w:t>
      </w:r>
    </w:p>
    <w:p>
      <w:pPr>
        <w:numPr>
          <w:ilvl w:val="0"/>
          <w:numId w:val="1014"/>
        </w:numPr>
        <w:pStyle w:val="Compact"/>
      </w:pPr>
      <w:r>
        <w:t xml:space="preserve">🛢️ 中国石化回购进展叠加原油上涨，对上游和一体化能源股偏正面，但炼化利润仍受原料成本和成品油价差影响，不能仅按油价单向推演。</w:t>
      </w:r>
    </w:p>
    <w:p>
      <w:r>
        <w:pict>
          <v:rect style="width:0;height:1.5pt" o:hralign="center" o:hrstd="t" o:hr="t"/>
        </w:pict>
      </w:r>
    </w:p>
    <w:p>
      <w:pPr>
        <w:pStyle w:val="Heading2"/>
      </w:pPr>
      <w:bookmarkStart w:id="37" w:name="今日经济数据与事件"/>
      <w:r>
        <w:t xml:space="preserve">📅 今日经济数据与事件</w:t>
      </w:r>
      <w:bookmarkEnd w:id="37"/>
    </w:p>
    <w:p>
      <w:pPr>
        <w:numPr>
          <w:ilvl w:val="0"/>
          <w:numId w:val="1015"/>
        </w:numPr>
        <w:pStyle w:val="Compact"/>
      </w:pPr>
      <w:r>
        <w:t xml:space="preserve">📊 采集JSON未提供今日国内CPI、PPI、PMI、GDP、社融、M2、MLF、LPR或逆回购的权威日程，发布时间与数值全部标记为未核验。</w:t>
      </w:r>
    </w:p>
    <w:p>
      <w:pPr>
        <w:numPr>
          <w:ilvl w:val="0"/>
          <w:numId w:val="1015"/>
        </w:numPr>
        <w:pStyle w:val="Compact"/>
      </w:pPr>
      <w:r>
        <w:t xml:space="preserve">🌍 海外CPI、就业数据、央行会议及科技巨头发布日程未获得结构化确认，不根据未经核验的时间点提前押注。</w:t>
      </w:r>
    </w:p>
    <w:p>
      <w:pPr>
        <w:numPr>
          <w:ilvl w:val="0"/>
          <w:numId w:val="1015"/>
        </w:numPr>
        <w:pStyle w:val="Compact"/>
      </w:pPr>
      <w:r>
        <w:t xml:space="preserve">🤖 已确认的产业事件线索来自2026世界人工智能大会及上海人形机器人中试服务平台启用；短线验证重点是AI应用/机器人能否与资金流共振。</w:t>
      </w:r>
    </w:p>
    <w:p>
      <w:pPr>
        <w:numPr>
          <w:ilvl w:val="0"/>
          <w:numId w:val="1015"/>
        </w:numPr>
        <w:pStyle w:val="Compact"/>
      </w:pPr>
      <w:r>
        <w:t xml:space="preserve">💡 盘中重点观察9:25竞价、开盘30分钟跌停数量变化、科技高成交核心止跌情况、电力/银行防御持续性及油气高开后的承接。</w:t>
      </w:r>
    </w:p>
    <w:p>
      <w:r>
        <w:pict>
          <v:rect style="width:0;height:1.5pt" o:hralign="center" o:hrstd="t" o:hr="t"/>
        </w:pict>
      </w:r>
    </w:p>
    <w:p>
      <w:pPr>
        <w:pStyle w:val="Heading2"/>
      </w:pPr>
      <w:bookmarkStart w:id="38" w:name="全球重要事件"/>
      <w:r>
        <w:t xml:space="preserve">🌍 全球重要事件</w:t>
      </w:r>
      <w:bookmarkEnd w:id="38"/>
    </w:p>
    <w:p>
      <w:pPr>
        <w:numPr>
          <w:ilvl w:val="0"/>
          <w:numId w:val="1016"/>
        </w:numPr>
        <w:pStyle w:val="Compact"/>
      </w:pPr>
      <w:r>
        <w:t xml:space="preserve">🛢️ 美伊冲突进入连续相互打击阶段，霍尔木兹运输风险继续抬升；WTI原油+2.28%，油气上游、油服和油运偏受益，航空及耗能下游承压。</w:t>
      </w:r>
    </w:p>
    <w:p>
      <w:pPr>
        <w:numPr>
          <w:ilvl w:val="0"/>
          <w:numId w:val="1016"/>
        </w:numPr>
        <w:pStyle w:val="Compact"/>
      </w:pPr>
      <w:r>
        <w:t xml:space="preserve">⚔️ 俄乌相互打击物流设施，供应链与运输风险增加；军工和无人机存在事件映射，但没有A股资金确认前不升级为主攻方向。</w:t>
      </w:r>
    </w:p>
    <w:p>
      <w:pPr>
        <w:numPr>
          <w:ilvl w:val="0"/>
          <w:numId w:val="1016"/>
        </w:numPr>
        <w:pStyle w:val="Compact"/>
      </w:pPr>
      <w:r>
        <w:t xml:space="preserve">🚢 伊拉克与叙利亚签署重修跨境输油管道的谅解备忘录，反映产油国正在寻找绕开霍尔木兹的替代路径；中长期影响取决于项目建设进度。</w:t>
      </w:r>
    </w:p>
    <w:p>
      <w:pPr>
        <w:numPr>
          <w:ilvl w:val="0"/>
          <w:numId w:val="1016"/>
        </w:numPr>
        <w:pStyle w:val="Compact"/>
      </w:pPr>
      <w:r>
        <w:t xml:space="preserve">🔥 西班牙多地林火扩大，局部影响防灾和供应链预期；采集信息不足以确认对A股上市公司的直接订单影响。</w:t>
      </w:r>
    </w:p>
    <w:p>
      <w:pPr>
        <w:numPr>
          <w:ilvl w:val="0"/>
          <w:numId w:val="1016"/>
        </w:numPr>
        <w:pStyle w:val="Compact"/>
      </w:pPr>
      <w:r>
        <w:t xml:space="preserve">⚠️ 全球风险资产具体表现不完整，美股、欧洲与中概股数值均未核验；今日A股策略以本地市场的止跌信号为主，不以单一A50上涨推断全面反弹。</w:t>
      </w:r>
    </w:p>
    <w:p>
      <w:r>
        <w:pict>
          <v:rect style="width:0;height:1.5pt" o:hralign="center" o:hrstd="t" o:hr="t"/>
        </w:pict>
      </w:r>
    </w:p>
    <w:p>
      <w:pPr>
        <w:pStyle w:val="Heading2"/>
      </w:pPr>
      <w:bookmarkStart w:id="39" w:name="昨日复盘要点"/>
      <w:r>
        <w:t xml:space="preserve">📊 昨日复盘要点</w:t>
      </w:r>
      <w:bookmarkEnd w:id="39"/>
    </w:p>
    <w:p>
      <w:pPr>
        <w:numPr>
          <w:ilvl w:val="0"/>
          <w:numId w:val="1017"/>
        </w:numPr>
        <w:pStyle w:val="Compact"/>
      </w:pPr>
      <w:r>
        <w:t xml:space="preserve">📉 上证指数3764.1547点、-3.046%；深证成指13706.884点、-5.3957%；创业板指3428.63点、-7.145%；科创50报1715.4044点、-7.1186%；沪深300报4529.0953点、-3.6042%。新浪、东方财富、腾讯三源校验一致。</w:t>
      </w:r>
    </w:p>
    <w:p>
      <w:pPr>
        <w:numPr>
          <w:ilvl w:val="0"/>
          <w:numId w:val="1017"/>
        </w:numPr>
        <w:pStyle w:val="Compact"/>
      </w:pPr>
      <w:r>
        <w:t xml:space="preserve">📉 同花顺完整单源显示上涨482家、下跌5001家、平盘39家，涨停35家、跌停198家；广度极弱且跌停风险高，该事实组状态为</w:t>
      </w:r>
      <w:r>
        <w:rPr>
          <w:rStyle w:val="VerbatimChar"/>
        </w:rPr>
        <w:t xml:space="preserve">single_source</w:t>
      </w:r>
      <w:r>
        <w:t xml:space="preserve">。</w:t>
      </w:r>
    </w:p>
    <w:p>
      <w:pPr>
        <w:numPr>
          <w:ilvl w:val="0"/>
          <w:numId w:val="1017"/>
        </w:numPr>
        <w:pStyle w:val="Compact"/>
      </w:pPr>
      <w:r>
        <w:t xml:space="preserve">💰 同花顺完整单源确认全市场成交额26716.15亿元，另一已确认原始金额为24189.11亿元；因</w:t>
      </w:r>
      <w:r>
        <w:rPr>
          <w:rStyle w:val="VerbatimChar"/>
        </w:rPr>
        <w:t xml:space="preserve">turnover_comparison_scope=unverified</w:t>
      </w:r>
      <w:r>
        <w:t xml:space="preserve">，不得使用成交额变化百分比。</w:t>
      </w:r>
    </w:p>
    <w:p>
      <w:pPr>
        <w:numPr>
          <w:ilvl w:val="0"/>
          <w:numId w:val="1017"/>
        </w:numPr>
        <w:pStyle w:val="Compact"/>
      </w:pPr>
      <w:r>
        <w:t xml:space="preserve">🎭</w:t>
      </w:r>
      <w:r>
        <w:t xml:space="preserve"> </w:t>
      </w:r>
      <w:r>
        <w:rPr>
          <w:rStyle w:val="VerbatimChar"/>
        </w:rPr>
        <w:t xml:space="preserve">derived.market_style</w:t>
      </w:r>
      <w:r>
        <w:t xml:space="preserve">为</w:t>
      </w:r>
      <w:r>
        <w:t xml:space="preserve">“</w:t>
      </w:r>
      <w:r>
        <w:t xml:space="preserve">偏弱/防御</w:t>
      </w:r>
      <w:r>
        <w:t xml:space="preserve">”</w:t>
      </w:r>
      <w:r>
        <w:t xml:space="preserve">；派生仓位上限40%，激进/均衡/保守参考仓位分别为40%/25%/10%。</w:t>
      </w:r>
    </w:p>
    <w:p>
      <w:pPr>
        <w:numPr>
          <w:ilvl w:val="0"/>
          <w:numId w:val="1017"/>
        </w:numPr>
        <w:pStyle w:val="Compact"/>
      </w:pPr>
      <w:r>
        <w:t xml:space="preserve">⚠️ 关键源覆盖率6/7（85.71%），缺失</w:t>
      </w:r>
      <w:r>
        <w:rPr>
          <w:rStyle w:val="VerbatimChar"/>
        </w:rPr>
        <w:t xml:space="preserve">limit_stocks</w:t>
      </w:r>
      <w:r>
        <w:t xml:space="preserve">个股样本；虽然广度源确认35家涨停、198家跌停，但无法核验具体涨跌停梯队与题材扩散。</w:t>
      </w:r>
    </w:p>
    <w:p>
      <w:pPr>
        <w:numPr>
          <w:ilvl w:val="0"/>
          <w:numId w:val="1017"/>
        </w:numPr>
        <w:pStyle w:val="Compact"/>
      </w:pPr>
      <w:r>
        <w:t xml:space="preserve">🔄 防御资产明显占优：电力+1.24%、净流入5.53亿元，国有大型银行Ⅲ+2.00%、净流入5.11亿元；电子-8.37%、净流出532.09亿元，半导体-9.87%、净流出250.63亿元，通信-6.31%、净流出200.10亿元。</w:t>
      </w:r>
    </w:p>
    <w:p>
      <w:r>
        <w:pict>
          <v:rect style="width:0;height:1.5pt" o:hralign="center" o:hrstd="t" o:hr="t"/>
        </w:pict>
      </w:r>
    </w:p>
    <w:p>
      <w:pPr>
        <w:pStyle w:val="Heading2"/>
      </w:pPr>
      <w:bookmarkStart w:id="40" w:name="昨日资金流向top10"/>
      <w:r>
        <w:t xml:space="preserve">💰 昨日资金流向TOP10</w:t>
      </w:r>
      <w:bookmarkEnd w:id="40"/>
    </w:p>
    <w:p>
      <w:pPr>
        <w:pStyle w:val="Heading3"/>
      </w:pPr>
      <w:bookmarkStart w:id="41" w:name="板块主力净流入top10"/>
      <w:r>
        <w:t xml:space="preserve">📈 板块主力净流入TOP10</w:t>
      </w:r>
      <w:bookmarkEnd w:id="41"/>
    </w:p>
    <w:p>
      <w:pPr>
        <w:numPr>
          <w:ilvl w:val="0"/>
          <w:numId w:val="1018"/>
        </w:numPr>
        <w:pStyle w:val="Compact"/>
      </w:pPr>
      <w:r>
        <w:t xml:space="preserve">电力：+5.53亿元</w:t>
      </w:r>
    </w:p>
    <w:p>
      <w:pPr>
        <w:numPr>
          <w:ilvl w:val="0"/>
          <w:numId w:val="1018"/>
        </w:numPr>
        <w:pStyle w:val="Compact"/>
      </w:pPr>
      <w:r>
        <w:t xml:space="preserve">国有大型银行Ⅲ：+5.11亿元</w:t>
      </w:r>
    </w:p>
    <w:p>
      <w:pPr>
        <w:numPr>
          <w:ilvl w:val="0"/>
          <w:numId w:val="1018"/>
        </w:numPr>
        <w:pStyle w:val="Compact"/>
      </w:pPr>
      <w:r>
        <w:t xml:space="preserve">火力发电：+5.08亿元</w:t>
      </w:r>
    </w:p>
    <w:p>
      <w:pPr>
        <w:numPr>
          <w:ilvl w:val="0"/>
          <w:numId w:val="1018"/>
        </w:numPr>
        <w:pStyle w:val="Compact"/>
      </w:pPr>
      <w:r>
        <w:t xml:space="preserve">公用事业：+4.67亿元</w:t>
      </w:r>
    </w:p>
    <w:p>
      <w:pPr>
        <w:numPr>
          <w:ilvl w:val="0"/>
          <w:numId w:val="1018"/>
        </w:numPr>
        <w:pStyle w:val="Compact"/>
      </w:pPr>
      <w:r>
        <w:t xml:space="preserve">炼油化工：+3.75亿元</w:t>
      </w:r>
    </w:p>
    <w:p>
      <w:pPr>
        <w:numPr>
          <w:ilvl w:val="0"/>
          <w:numId w:val="1018"/>
        </w:numPr>
        <w:pStyle w:val="Compact"/>
      </w:pPr>
      <w:r>
        <w:t xml:space="preserve">炼化及贸易：+3.46亿元</w:t>
      </w:r>
    </w:p>
    <w:p>
      <w:pPr>
        <w:numPr>
          <w:ilvl w:val="0"/>
          <w:numId w:val="1018"/>
        </w:numPr>
        <w:pStyle w:val="Compact"/>
      </w:pPr>
      <w:r>
        <w:t xml:space="preserve">体外诊断：+2.80亿元</w:t>
      </w:r>
    </w:p>
    <w:p>
      <w:pPr>
        <w:numPr>
          <w:ilvl w:val="0"/>
          <w:numId w:val="1018"/>
        </w:numPr>
        <w:pStyle w:val="Compact"/>
      </w:pPr>
      <w:r>
        <w:t xml:space="preserve">锂电池：+1.99亿元</w:t>
      </w:r>
    </w:p>
    <w:p>
      <w:pPr>
        <w:numPr>
          <w:ilvl w:val="0"/>
          <w:numId w:val="1018"/>
        </w:numPr>
        <w:pStyle w:val="Compact"/>
      </w:pPr>
      <w:r>
        <w:t xml:space="preserve">风力发电：+1.98亿元</w:t>
      </w:r>
    </w:p>
    <w:p>
      <w:pPr>
        <w:numPr>
          <w:ilvl w:val="0"/>
          <w:numId w:val="1018"/>
        </w:numPr>
        <w:pStyle w:val="Compact"/>
      </w:pPr>
      <w:r>
        <w:t xml:space="preserve">聚氨酯：+1.81亿元</w:t>
      </w:r>
    </w:p>
    <w:p>
      <w:pPr>
        <w:pStyle w:val="BlockText"/>
      </w:pPr>
      <w:r>
        <w:t xml:space="preserve">💡 榜单来自东方财富结构化资金流。电力/火力发电/公用事业、炼油化工/炼化及贸易存在行业层级重叠，金额不得简单相加；锂电池与体外诊断虽然净流入，但板块分别下跌4.82%和5.30%，属于弱市中的局部承接。</w:t>
      </w:r>
    </w:p>
    <w:p>
      <w:pPr>
        <w:pStyle w:val="Heading3"/>
      </w:pPr>
      <w:bookmarkStart w:id="42" w:name="板块主力净流出top10"/>
      <w:r>
        <w:t xml:space="preserve">📉 板块主力净流出TOP10</w:t>
      </w:r>
      <w:bookmarkEnd w:id="42"/>
    </w:p>
    <w:p>
      <w:pPr>
        <w:numPr>
          <w:ilvl w:val="0"/>
          <w:numId w:val="1019"/>
        </w:numPr>
        <w:pStyle w:val="Compact"/>
      </w:pPr>
      <w:r>
        <w:t xml:space="preserve">电子：-532.09亿元</w:t>
      </w:r>
    </w:p>
    <w:p>
      <w:pPr>
        <w:numPr>
          <w:ilvl w:val="0"/>
          <w:numId w:val="1019"/>
        </w:numPr>
        <w:pStyle w:val="Compact"/>
      </w:pPr>
      <w:r>
        <w:t xml:space="preserve">半导体：-250.63亿元</w:t>
      </w:r>
    </w:p>
    <w:p>
      <w:pPr>
        <w:numPr>
          <w:ilvl w:val="0"/>
          <w:numId w:val="1019"/>
        </w:numPr>
        <w:pStyle w:val="Compact"/>
      </w:pPr>
      <w:r>
        <w:t xml:space="preserve">通信：-200.10亿元</w:t>
      </w:r>
    </w:p>
    <w:p>
      <w:pPr>
        <w:numPr>
          <w:ilvl w:val="0"/>
          <w:numId w:val="1019"/>
        </w:numPr>
        <w:pStyle w:val="Compact"/>
      </w:pPr>
      <w:r>
        <w:t xml:space="preserve">通信设备：-195.89亿元</w:t>
      </w:r>
    </w:p>
    <w:p>
      <w:pPr>
        <w:numPr>
          <w:ilvl w:val="0"/>
          <w:numId w:val="1019"/>
        </w:numPr>
        <w:pStyle w:val="Compact"/>
      </w:pPr>
      <w:r>
        <w:t xml:space="preserve">通信网络设备及器件：-154.46亿元</w:t>
      </w:r>
    </w:p>
    <w:p>
      <w:pPr>
        <w:numPr>
          <w:ilvl w:val="0"/>
          <w:numId w:val="1019"/>
        </w:numPr>
        <w:pStyle w:val="Compact"/>
      </w:pPr>
      <w:r>
        <w:t xml:space="preserve">医药生物：-137.22亿元</w:t>
      </w:r>
    </w:p>
    <w:p>
      <w:pPr>
        <w:numPr>
          <w:ilvl w:val="0"/>
          <w:numId w:val="1019"/>
        </w:numPr>
        <w:pStyle w:val="Compact"/>
      </w:pPr>
      <w:r>
        <w:t xml:space="preserve">元件：-123.21亿元</w:t>
      </w:r>
    </w:p>
    <w:p>
      <w:pPr>
        <w:numPr>
          <w:ilvl w:val="0"/>
          <w:numId w:val="1019"/>
        </w:numPr>
        <w:pStyle w:val="Compact"/>
      </w:pPr>
      <w:r>
        <w:t xml:space="preserve">机械设备：-115.97亿元</w:t>
      </w:r>
    </w:p>
    <w:p>
      <w:pPr>
        <w:numPr>
          <w:ilvl w:val="0"/>
          <w:numId w:val="1019"/>
        </w:numPr>
        <w:pStyle w:val="Compact"/>
      </w:pPr>
      <w:r>
        <w:t xml:space="preserve">数字芯片设计：-107.92亿元</w:t>
      </w:r>
    </w:p>
    <w:p>
      <w:pPr>
        <w:numPr>
          <w:ilvl w:val="0"/>
          <w:numId w:val="1019"/>
        </w:numPr>
        <w:pStyle w:val="Compact"/>
      </w:pPr>
      <w:r>
        <w:t xml:space="preserve">计算机：-107.30亿元</w:t>
      </w:r>
    </w:p>
    <w:p>
      <w:pPr>
        <w:pStyle w:val="BlockText"/>
      </w:pPr>
      <w:r>
        <w:t xml:space="preserve">⚠️ 电子、半导体、通信及其子行业存在层级重叠，但资金撤退方向高度一致；光模块、PCB、芯片、算力硬件与高位AI链今日只观察止跌，不因大会催化直接抄底。</w:t>
      </w:r>
    </w:p>
    <w:p>
      <w:r>
        <w:pict>
          <v:rect style="width:0;height:1.5pt" o:hralign="center" o:hrstd="t" o:hr="t"/>
        </w:pict>
      </w:r>
    </w:p>
    <w:p>
      <w:pPr>
        <w:pStyle w:val="Heading2"/>
      </w:pPr>
      <w:bookmarkStart w:id="43" w:name="华泰自选股观察"/>
      <w:r>
        <w:t xml:space="preserve">🧾 华泰自选股观察</w:t>
      </w:r>
      <w:bookmarkEnd w:id="43"/>
    </w:p>
    <w:p>
      <w:pPr>
        <w:numPr>
          <w:ilvl w:val="0"/>
          <w:numId w:val="1020"/>
        </w:numPr>
        <w:pStyle w:val="Compact"/>
      </w:pPr>
      <w:r>
        <w:t xml:space="preserve">📌 华泰自选股共3只，行情成功3只：工商银行+2.44%最强，弘元绿能-4.69%、风语筑-5.43%。行情为华泰单源，执行前需以券商实时行情复核。</w:t>
      </w:r>
    </w:p>
    <w:p>
      <w:pPr>
        <w:numPr>
          <w:ilvl w:val="0"/>
          <w:numId w:val="1020"/>
        </w:numPr>
        <w:pStyle w:val="Compact"/>
      </w:pPr>
      <w:r>
        <w:t xml:space="preserve">🧭 工商银行与国有大行防御主线共振；弘元绿能和风语筑均未得到上一交易日板块资金支持。除工商银行外，整体以跟踪为主、暂不作为主攻方向。</w:t>
      </w:r>
    </w:p>
    <w:p>
      <w:pPr>
        <w:pStyle w:val="Heading3"/>
      </w:pPr>
      <w:bookmarkStart w:id="44" w:name="弘元绿能603185"/>
      <w:r>
        <w:t xml:space="preserve">1️⃣ 弘元绿能（603185）</w:t>
      </w:r>
      <w:bookmarkEnd w:id="44"/>
    </w:p>
    <w:p>
      <w:pPr>
        <w:numPr>
          <w:ilvl w:val="0"/>
          <w:numId w:val="1021"/>
        </w:numPr>
        <w:pStyle w:val="Compact"/>
      </w:pPr>
      <w:r>
        <w:t xml:space="preserve">📉 华泰单源最新价13.20元、-4.69%，前收13.85元，未停牌；涨跌停参考价15.24元/12.47元。</w:t>
      </w:r>
    </w:p>
    <w:p>
      <w:pPr>
        <w:numPr>
          <w:ilvl w:val="0"/>
          <w:numId w:val="1021"/>
        </w:numPr>
        <w:pStyle w:val="Compact"/>
      </w:pPr>
      <w:r>
        <w:t xml:space="preserve">🧩 所属光伏制造、硅片与电力设备；电力设备板块上一交易日下跌4.11%、主力净流出58.56亿元，光伏发电虽上涨0.39%但净流出5646.84万元。</w:t>
      </w:r>
    </w:p>
    <w:p>
      <w:pPr>
        <w:numPr>
          <w:ilvl w:val="0"/>
          <w:numId w:val="1021"/>
        </w:numPr>
        <w:pStyle w:val="Compact"/>
      </w:pPr>
      <w:r>
        <w:t xml:space="preserve">🔄 主线关系：与电力运营、国有大行防御线不直接共振，也没有资金证据支持光伏成为今日主线。</w:t>
      </w:r>
    </w:p>
    <w:p>
      <w:pPr>
        <w:numPr>
          <w:ilvl w:val="0"/>
          <w:numId w:val="1021"/>
        </w:numPr>
        <w:pStyle w:val="Compact"/>
      </w:pPr>
      <w:r>
        <w:t xml:space="preserve">💡 判断：偏弱、继续观察，不追高；只有光伏/电力设备资金转正且股价放量收复13.85元，才可低吸跟踪。</w:t>
      </w:r>
    </w:p>
    <w:p>
      <w:pPr>
        <w:pStyle w:val="Heading3"/>
      </w:pPr>
      <w:bookmarkStart w:id="45" w:name="风语筑603466"/>
      <w:r>
        <w:t xml:space="preserve">2️⃣ 风语筑（603466）</w:t>
      </w:r>
      <w:bookmarkEnd w:id="45"/>
    </w:p>
    <w:p>
      <w:pPr>
        <w:numPr>
          <w:ilvl w:val="0"/>
          <w:numId w:val="1022"/>
        </w:numPr>
        <w:pStyle w:val="Compact"/>
      </w:pPr>
      <w:r>
        <w:t xml:space="preserve">📉 华泰单源最新价11.67元、-5.43%，前收12.34元，未停牌；涨跌停参考价13.57元/11.11元。</w:t>
      </w:r>
    </w:p>
    <w:p>
      <w:pPr>
        <w:numPr>
          <w:ilvl w:val="0"/>
          <w:numId w:val="1022"/>
        </w:numPr>
        <w:pStyle w:val="Compact"/>
      </w:pPr>
      <w:r>
        <w:t xml:space="preserve">🧩 所属数字文化展示、沉浸式体验与AI应用；计算机上一交易日下跌4.86%、净流出107.30亿元，AI题材有大会催化但缺少资金共振。</w:t>
      </w:r>
    </w:p>
    <w:p>
      <w:pPr>
        <w:numPr>
          <w:ilvl w:val="0"/>
          <w:numId w:val="1022"/>
        </w:numPr>
        <w:pStyle w:val="Compact"/>
      </w:pPr>
      <w:r>
        <w:t xml:space="preserve">🔄 主线关系：产业题材与AI大会相关，但价格表现与资金方向不共振，当前不属于确认主线。</w:t>
      </w:r>
    </w:p>
    <w:p>
      <w:pPr>
        <w:numPr>
          <w:ilvl w:val="0"/>
          <w:numId w:val="1022"/>
        </w:numPr>
        <w:pStyle w:val="Compact"/>
      </w:pPr>
      <w:r>
        <w:t xml:space="preserve">💡 判断：偏弱、以跟踪为主、暂不作为主攻方向；若守住11.11元风险位并放量收复12.34元，才可低吸跟踪，未收复前不加仓。</w:t>
      </w:r>
    </w:p>
    <w:p>
      <w:pPr>
        <w:pStyle w:val="Heading3"/>
      </w:pPr>
      <w:bookmarkStart w:id="46" w:name="工商银行601398"/>
      <w:r>
        <w:t xml:space="preserve">3️⃣ 工商银行（601398）</w:t>
      </w:r>
      <w:bookmarkEnd w:id="46"/>
    </w:p>
    <w:p>
      <w:pPr>
        <w:numPr>
          <w:ilvl w:val="0"/>
          <w:numId w:val="1023"/>
        </w:numPr>
        <w:pStyle w:val="Compact"/>
      </w:pPr>
      <w:r>
        <w:t xml:space="preserve">📈 华泰单源最新价7.57元、+2.44%，前收7.39元，未停牌；涨跌停参考价8.13元/6.65元。</w:t>
      </w:r>
    </w:p>
    <w:p>
      <w:pPr>
        <w:numPr>
          <w:ilvl w:val="0"/>
          <w:numId w:val="1023"/>
        </w:numPr>
        <w:pStyle w:val="Compact"/>
      </w:pPr>
      <w:r>
        <w:t xml:space="preserve">🧩 所属国有大型银行和高股息红利；国有大型银行Ⅲ上涨2.00%、主力净流入5.11亿元，建设银行+3.67%，形成板块共振。</w:t>
      </w:r>
    </w:p>
    <w:p>
      <w:pPr>
        <w:numPr>
          <w:ilvl w:val="0"/>
          <w:numId w:val="1023"/>
        </w:numPr>
        <w:pStyle w:val="Compact"/>
      </w:pPr>
      <w:r>
        <w:t xml:space="preserve">🔄 主线关系：与当前</w:t>
      </w:r>
      <w:r>
        <w:t xml:space="preserve">“</w:t>
      </w:r>
      <w:r>
        <w:t xml:space="preserve">偏弱/防御</w:t>
      </w:r>
      <w:r>
        <w:t xml:space="preserve">”</w:t>
      </w:r>
      <w:r>
        <w:t xml:space="preserve">风格高度共振，是自选股中最明确的防御标的，但不是高弹性进攻方向。</w:t>
      </w:r>
    </w:p>
    <w:p>
      <w:pPr>
        <w:numPr>
          <w:ilvl w:val="0"/>
          <w:numId w:val="1023"/>
        </w:numPr>
        <w:pStyle w:val="Compact"/>
      </w:pPr>
      <w:r>
        <w:t xml:space="preserve">💡 判断：偏强、稳健持有、不追高；回踩7.39元承接有效可继续跟踪，若高开后跌回7.39元下方则谨防红利拥挤兑现。</w:t>
      </w:r>
    </w:p>
    <w:p>
      <w:r>
        <w:pict>
          <v:rect style="width:0;height:1.5pt" o:hralign="center" o:hrstd="t" o:hr="t"/>
        </w:pict>
      </w:r>
    </w:p>
    <w:p>
      <w:pPr>
        <w:pStyle w:val="Heading2"/>
      </w:pPr>
      <w:bookmarkStart w:id="47" w:name="今日操作策略"/>
      <w:r>
        <w:t xml:space="preserve">🎯 今日操作策略</w:t>
      </w:r>
      <w:bookmarkEnd w:id="47"/>
    </w:p>
    <w:p>
      <w:pPr>
        <w:numPr>
          <w:ilvl w:val="0"/>
          <w:numId w:val="1024"/>
        </w:numPr>
        <w:pStyle w:val="Compact"/>
      </w:pPr>
      <w:r>
        <w:t xml:space="preserve">🧭 市场预判：偏弱环境下的修复博弈。A50期指+0.72%提供正向开盘线索，但上一交易日深证成指-5.3957%、创业板指-7.145%、5001只下跌、198只跌停，需先确认恐慌是否收敛。</w:t>
      </w:r>
    </w:p>
    <w:p>
      <w:pPr>
        <w:numPr>
          <w:ilvl w:val="0"/>
          <w:numId w:val="1024"/>
        </w:numPr>
        <w:pStyle w:val="Compact"/>
      </w:pPr>
      <w:r>
        <w:t xml:space="preserve">🔥 关注顺序：国有大行-高股息防御、电力运营-火电/风电、油气上游-炼化及贸易；AI应用与机器人只列修复观察，不追高硬件。</w:t>
      </w:r>
    </w:p>
    <w:p>
      <w:pPr>
        <w:numPr>
          <w:ilvl w:val="0"/>
          <w:numId w:val="1024"/>
        </w:numPr>
        <w:pStyle w:val="Compact"/>
      </w:pPr>
      <w:r>
        <w:t xml:space="preserve">🚫 回避方向：电子、半导体、通信设备、光模块、PCB、医疗研发外包等上一交易日大额流出方向；高换手退市/ST股；地缘题材的一致性高开。</w:t>
      </w:r>
    </w:p>
    <w:p>
      <w:pPr>
        <w:numPr>
          <w:ilvl w:val="0"/>
          <w:numId w:val="1024"/>
        </w:numPr>
        <w:pStyle w:val="Compact"/>
      </w:pPr>
      <w:r>
        <w:t xml:space="preserve">💡 开盘验证：跌停数量明显下降、三大指数不再扩大跌幅、防御板块资金不转流出、科技高成交核心止跌。未满足至少两项时，不提高仓位。</w:t>
      </w:r>
    </w:p>
    <w:p>
      <w:pPr>
        <w:pStyle w:val="Heading3"/>
      </w:pPr>
      <w:bookmarkStart w:id="48" w:name="仓位分层"/>
      <w:r>
        <w:t xml:space="preserve">💡 仓位分层</w:t>
      </w:r>
      <w:bookmarkEnd w:id="48"/>
    </w:p>
    <w:p>
      <w:pPr>
        <w:numPr>
          <w:ilvl w:val="0"/>
          <w:numId w:val="1025"/>
        </w:numPr>
        <w:pStyle w:val="Compact"/>
      </w:pPr>
      <w:r>
        <w:t xml:space="preserve">激进：最高40%，开盘先控制在20%-25%；仅在指数回稳、跌停风险收敛、主线资金延续三项同时确认后提高至40%。</w:t>
      </w:r>
    </w:p>
    <w:p>
      <w:pPr>
        <w:numPr>
          <w:ilvl w:val="0"/>
          <w:numId w:val="1025"/>
        </w:numPr>
        <w:pStyle w:val="Compact"/>
      </w:pPr>
      <w:r>
        <w:t xml:space="preserve">稳健：25%，以银行、电力防御底仓为主，新增仓位只做回踩承接，不追一致性高开。</w:t>
      </w:r>
    </w:p>
    <w:p>
      <w:pPr>
        <w:numPr>
          <w:ilvl w:val="0"/>
          <w:numId w:val="1025"/>
        </w:numPr>
        <w:pStyle w:val="Compact"/>
      </w:pPr>
      <w:r>
        <w:t xml:space="preserve">保守：10%，等待上证指数重新站稳开盘价、市场下跌家数显著收敛后再行动。</w:t>
      </w:r>
    </w:p>
    <w:p>
      <w:pPr>
        <w:numPr>
          <w:ilvl w:val="0"/>
          <w:numId w:val="1025"/>
        </w:numPr>
        <w:pStyle w:val="Compact"/>
      </w:pPr>
      <w:r>
        <w:t xml:space="preserve">⚠️ 仓位采用</w:t>
      </w:r>
      <w:r>
        <w:rPr>
          <w:rStyle w:val="VerbatimChar"/>
        </w:rPr>
        <w:t xml:space="preserve">derived.position_model</w:t>
      </w:r>
      <w:r>
        <w:t xml:space="preserve">；成交额比较口径为</w:t>
      </w:r>
      <w:r>
        <w:rPr>
          <w:rStyle w:val="VerbatimChar"/>
        </w:rPr>
        <w:t xml:space="preserve">unverified</w:t>
      </w:r>
      <w:r>
        <w:t xml:space="preserve">，不使用成交额变化百分比调仓。</w:t>
      </w:r>
    </w:p>
    <w:p>
      <w:pPr>
        <w:pStyle w:val="Heading3"/>
      </w:pPr>
      <w:bookmarkStart w:id="49" w:name="主要风险"/>
      <w:r>
        <w:t xml:space="preserve">⚠️ 主要风险</w:t>
      </w:r>
      <w:bookmarkEnd w:id="49"/>
    </w:p>
    <w:p>
      <w:pPr>
        <w:numPr>
          <w:ilvl w:val="0"/>
          <w:numId w:val="1026"/>
        </w:numPr>
        <w:pStyle w:val="Compact"/>
      </w:pPr>
      <w:r>
        <w:t xml:space="preserve">电子净流出532.09亿元、半导体净流出250.63亿元、通信净流出200.10亿元，若高成交科技核心继续下挫，指数修复可能失败。</w:t>
      </w:r>
    </w:p>
    <w:p>
      <w:pPr>
        <w:numPr>
          <w:ilvl w:val="0"/>
          <w:numId w:val="1026"/>
        </w:numPr>
        <w:pStyle w:val="Compact"/>
      </w:pPr>
      <w:r>
        <w:t xml:space="preserve">198只跌停反映流动性压力；</w:t>
      </w:r>
      <w:r>
        <w:rPr>
          <w:rStyle w:val="VerbatimChar"/>
        </w:rPr>
        <w:t xml:space="preserve">limit_stocks</w:t>
      </w:r>
      <w:r>
        <w:t xml:space="preserve">个股样本缺失，无法确认跌停结构是否集中于某一题材。</w:t>
      </w:r>
    </w:p>
    <w:p>
      <w:pPr>
        <w:numPr>
          <w:ilvl w:val="0"/>
          <w:numId w:val="1026"/>
        </w:numPr>
        <w:pStyle w:val="Compact"/>
      </w:pPr>
      <w:r>
        <w:t xml:space="preserve">银行和电力在极弱市场中逆势走强，若开盘一致性过高，存在防御拥挤和补跌风险。</w:t>
      </w:r>
    </w:p>
    <w:p>
      <w:pPr>
        <w:numPr>
          <w:ilvl w:val="0"/>
          <w:numId w:val="1026"/>
        </w:numPr>
        <w:pStyle w:val="Compact"/>
      </w:pPr>
      <w:r>
        <w:t xml:space="preserve">美伊冲突可能继续推升油价，也可能因谈判或停火信号造成能源股溢价快速回吐。</w:t>
      </w:r>
    </w:p>
    <w:p>
      <w:r>
        <w:pict>
          <v:rect style="width:0;height:1.5pt" o:hralign="center" o:hrstd="t" o:hr="t"/>
        </w:pict>
      </w:r>
    </w:p>
    <w:p>
      <w:pPr>
        <w:pStyle w:val="Heading2"/>
      </w:pPr>
      <w:bookmarkStart w:id="50" w:name="重点投资方向"/>
      <w:r>
        <w:t xml:space="preserve">🎯 重点投资方向</w:t>
      </w:r>
      <w:bookmarkEnd w:id="50"/>
    </w:p>
    <w:p>
      <w:pPr>
        <w:pStyle w:val="Heading3"/>
      </w:pPr>
      <w:bookmarkStart w:id="51" w:name="方向一国有大型银行-高股息防御优先级高回踩参与"/>
      <w:r>
        <w:t xml:space="preserve">方向一：国有大型银行-高股息防御（优先级：高，回踩参与）</w:t>
      </w:r>
      <w:bookmarkEnd w:id="51"/>
    </w:p>
    <w:p>
      <w:pPr>
        <w:numPr>
          <w:ilvl w:val="0"/>
          <w:numId w:val="1027"/>
        </w:numPr>
        <w:pStyle w:val="Compact"/>
      </w:pPr>
      <w:r>
        <w:t xml:space="preserve">📌 证据链：国有大型银行Ⅲ上涨2.00%、成交162.49亿元、主力净流入5.11亿元；建设银行+3.67%领涨；中国银行+2.76%、主力净流入3.20亿元；农业银行+1.43%、主力净流入1.52亿元；工商银行华泰单源+2.44%。</w:t>
      </w:r>
    </w:p>
    <w:p>
      <w:pPr>
        <w:numPr>
          <w:ilvl w:val="0"/>
          <w:numId w:val="1027"/>
        </w:numPr>
        <w:pStyle w:val="Compact"/>
      </w:pPr>
      <w:r>
        <w:t xml:space="preserve">🔥 核心标的：工商银行（自选与实盘重合、板块共振）；中国银行（个股资金净流入3.20亿元）；农业银行（个股资金净流入1.52亿元、实盘持仓）；建设银行（板块领涨+3.67%）。</w:t>
      </w:r>
    </w:p>
    <w:p>
      <w:pPr>
        <w:numPr>
          <w:ilvl w:val="0"/>
          <w:numId w:val="1027"/>
        </w:numPr>
        <w:pStyle w:val="Compact"/>
      </w:pPr>
      <w:r>
        <w:t xml:space="preserve">💡 参与策略：激进只做板块回踩后的再转强；稳健以现有工商银行、农业银行底仓为主；保守等待国有大行多数强于上证指数后再参与。</w:t>
      </w:r>
    </w:p>
    <w:p>
      <w:pPr>
        <w:numPr>
          <w:ilvl w:val="0"/>
          <w:numId w:val="1027"/>
        </w:numPr>
        <w:pStyle w:val="Compact"/>
      </w:pPr>
      <w:r>
        <w:t xml:space="preserve">✅ 触发条件：国有大行板块继续净流入，工商银行守住7.39元、农业银行守住6.39元附近承接，至少三只国有大行强于上证指数。</w:t>
      </w:r>
    </w:p>
    <w:p>
      <w:pPr>
        <w:numPr>
          <w:ilvl w:val="0"/>
          <w:numId w:val="1027"/>
        </w:numPr>
        <w:pStyle w:val="Compact"/>
      </w:pPr>
      <w:r>
        <w:t xml:space="preserve">🚫 失效条件：板块主力转明显净流出，工商银行跌破7.39元且30分钟不能收回，或银行股由护盘转为补跌。</w:t>
      </w:r>
    </w:p>
    <w:p>
      <w:pPr>
        <w:numPr>
          <w:ilvl w:val="0"/>
          <w:numId w:val="1027"/>
        </w:numPr>
        <w:pStyle w:val="Compact"/>
      </w:pPr>
      <w:r>
        <w:t xml:space="preserve">⚠️ 风险：红利交易拥挤、净息差压力、利率预期变化及指数系统性下跌。</w:t>
      </w:r>
    </w:p>
    <w:p>
      <w:pPr>
        <w:pStyle w:val="Heading3"/>
      </w:pPr>
      <w:bookmarkStart w:id="52" w:name="方向二电力运营-火电风电优先级中高分歧参与"/>
      <w:r>
        <w:t xml:space="preserve">方向二：电力运营-火电/风电（优先级：中高，分歧参与）</w:t>
      </w:r>
      <w:bookmarkEnd w:id="52"/>
    </w:p>
    <w:p>
      <w:pPr>
        <w:numPr>
          <w:ilvl w:val="0"/>
          <w:numId w:val="1028"/>
        </w:numPr>
        <w:pStyle w:val="Compact"/>
      </w:pPr>
      <w:r>
        <w:t xml:space="preserve">📌 证据链：电力上涨1.24%、成交612.19亿元、净流入5.53亿元；火力发电上涨1.74%、成交250.07亿元、净流入5.08亿元；风力发电上涨0.93%、净流入1.98亿元；华银电力+9.96%、净流入2.41亿元，桂冠电力+10.05%，立新能源+9.97%。</w:t>
      </w:r>
    </w:p>
    <w:p>
      <w:pPr>
        <w:numPr>
          <w:ilvl w:val="0"/>
          <w:numId w:val="1028"/>
        </w:numPr>
        <w:pStyle w:val="Compact"/>
      </w:pPr>
      <w:r>
        <w:t xml:space="preserve">🔥 核心标的：华银电力（电力与火电共同领涨、个股净流入2.41亿元）；桂冠电力（水电领涨+10.05%）；立新能源（风电领涨+9.97%）；国电电力、龙源电力（今日有经营公告，具体数据待核验）。</w:t>
      </w:r>
    </w:p>
    <w:p>
      <w:pPr>
        <w:numPr>
          <w:ilvl w:val="0"/>
          <w:numId w:val="1028"/>
        </w:numPr>
        <w:pStyle w:val="Compact"/>
      </w:pPr>
      <w:r>
        <w:t xml:space="preserve">💡 参与策略：激进观察龙头分歧回封；稳健等待电力板块回踩不破并维持净流入；保守只跟踪国电电力、龙源电力公告核验后的低波动机会。</w:t>
      </w:r>
    </w:p>
    <w:p>
      <w:pPr>
        <w:numPr>
          <w:ilvl w:val="0"/>
          <w:numId w:val="1028"/>
        </w:numPr>
        <w:pStyle w:val="Compact"/>
      </w:pPr>
      <w:r>
        <w:t xml:space="preserve">✅ 触发条件：电力/火电至少两个分支继续强于指数，华银电力或桂冠电力不出现炸板式转弱，板块资金保持净流入。</w:t>
      </w:r>
    </w:p>
    <w:p>
      <w:pPr>
        <w:numPr>
          <w:ilvl w:val="0"/>
          <w:numId w:val="1028"/>
        </w:numPr>
        <w:pStyle w:val="Compact"/>
      </w:pPr>
      <w:r>
        <w:t xml:space="preserve">🚫 失效条件：电力主力转净流出，核心股高开低走跌破开盘价，或防御板块整体补跌。</w:t>
      </w:r>
    </w:p>
    <w:p>
      <w:pPr>
        <w:numPr>
          <w:ilvl w:val="0"/>
          <w:numId w:val="1028"/>
        </w:numPr>
        <w:pStyle w:val="Compact"/>
      </w:pPr>
      <w:r>
        <w:t xml:space="preserve">⚠️ 风险：弱市抱团兑现、来水与煤价变化、电价政策、公告数据不及预期。</w:t>
      </w:r>
    </w:p>
    <w:p>
      <w:pPr>
        <w:pStyle w:val="Heading3"/>
      </w:pPr>
      <w:bookmarkStart w:id="53" w:name="方向三油气上游-炼油化工油运优先级中事件驱动"/>
      <w:r>
        <w:t xml:space="preserve">方向三：油气上游-炼油化工/油运（优先级：中，事件驱动）</w:t>
      </w:r>
      <w:bookmarkEnd w:id="53"/>
    </w:p>
    <w:p>
      <w:pPr>
        <w:numPr>
          <w:ilvl w:val="0"/>
          <w:numId w:val="1029"/>
        </w:numPr>
        <w:pStyle w:val="Compact"/>
      </w:pPr>
      <w:r>
        <w:t xml:space="preserve">📌 证据链：WTI原油报83.644、+2.28%；美伊持续互相打击且霍尔木兹运输受阻；炼油化工主力净流入3.75亿元，炼化及贸易净流入3.46亿元；中国石油+3.00%、净流入2.08亿元，万华化学+2.46%、净流入2.00亿元；中国石化披露回购进展。</w:t>
      </w:r>
    </w:p>
    <w:p>
      <w:pPr>
        <w:numPr>
          <w:ilvl w:val="0"/>
          <w:numId w:val="1029"/>
        </w:numPr>
        <w:pStyle w:val="Compact"/>
      </w:pPr>
      <w:r>
        <w:t xml:space="preserve">🔥 核心标的：中国石油（油价与个股资金共振）；中国石化（回购进展+一体化能源）；恒逸石化（炼油化工领涨+4.12%）；通源石油（油服映射、+6.29%、换手率35.20%，高波动观察）。</w:t>
      </w:r>
    </w:p>
    <w:p>
      <w:pPr>
        <w:numPr>
          <w:ilvl w:val="0"/>
          <w:numId w:val="1029"/>
        </w:numPr>
        <w:pStyle w:val="Compact"/>
      </w:pPr>
      <w:r>
        <w:t xml:space="preserve">💡 参与策略：激进只做油价继续上行后的板块分歧承接；稳健优先大型一体化能源股；保守不参与事件高开，等待冲高回落后的资金确认。</w:t>
      </w:r>
    </w:p>
    <w:p>
      <w:pPr>
        <w:numPr>
          <w:ilvl w:val="0"/>
          <w:numId w:val="1029"/>
        </w:numPr>
        <w:pStyle w:val="Compact"/>
      </w:pPr>
      <w:r>
        <w:t xml:space="preserve">✅ 触发条件：原油保持强势，炼油化工/油气板块放量且主力净流入延续，中国石油或中国石化强于上证指数。</w:t>
      </w:r>
    </w:p>
    <w:p>
      <w:pPr>
        <w:numPr>
          <w:ilvl w:val="0"/>
          <w:numId w:val="1029"/>
        </w:numPr>
        <w:pStyle w:val="Compact"/>
      </w:pPr>
      <w:r>
        <w:t xml:space="preserve">🚫 失效条件：美伊出现停火或谈判缓和信号、原油转跌、板块高开低走且主力转净流出。</w:t>
      </w:r>
    </w:p>
    <w:p>
      <w:pPr>
        <w:numPr>
          <w:ilvl w:val="0"/>
          <w:numId w:val="1029"/>
        </w:numPr>
        <w:pStyle w:val="Compact"/>
      </w:pPr>
      <w:r>
        <w:t xml:space="preserve">⚠️ 风险：地缘事件快速反转、追高兑现、炼化价差收窄、下游需求不及预期。</w:t>
      </w:r>
    </w:p>
    <w:p>
      <w:r>
        <w:pict>
          <v:rect style="width:0;height:1.5pt" o:hralign="center" o:hrstd="t" o:hr="t"/>
        </w:pict>
      </w:r>
    </w:p>
    <w:p>
      <w:pPr>
        <w:pStyle w:val="Heading2"/>
      </w:pPr>
      <w:bookmarkStart w:id="54" w:name="用户实盘持仓策略"/>
      <w:r>
        <w:t xml:space="preserve">💼 用户实盘持仓策略</w:t>
      </w:r>
      <w:bookmarkEnd w:id="54"/>
    </w:p>
    <w:p>
      <w:pPr>
        <w:pStyle w:val="BlockText"/>
      </w:pPr>
      <w:r>
        <w:t xml:space="preserve">行情口径：弘元绿能、风语筑、工商银行使用华泰单源行情；农业银行使用东方财富结构化资金流中的最新价，均为2026-07-17收盘或最近可得数据。四只均未进入本轮</w:t>
      </w:r>
      <w:r>
        <w:rPr>
          <w:rStyle w:val="VerbatimChar"/>
        </w:rPr>
        <w:t xml:space="preserve">stock_quote_cross_checks</w:t>
      </w:r>
      <w:r>
        <w:t xml:space="preserve">样本，执行前必须以券商实时行情复核。盈亏按参考价相对成本计算，未含佣金、税费和分红。</w:t>
      </w:r>
    </w:p>
    <w:p>
      <w:pPr>
        <w:pStyle w:val="Heading3"/>
      </w:pPr>
      <w:bookmarkStart w:id="55" w:name="弘元绿能603185300股成本26.6669元"/>
      <w:r>
        <w:t xml:space="preserve">弘元绿能（603185）｜300股｜成本26.6669元</w:t>
      </w:r>
      <w:bookmarkEnd w:id="55"/>
    </w:p>
    <w:p>
      <w:pPr>
        <w:numPr>
          <w:ilvl w:val="0"/>
          <w:numId w:val="1030"/>
        </w:numPr>
        <w:pStyle w:val="Compact"/>
      </w:pPr>
      <w:r>
        <w:t xml:space="preserve">📉 最新参考价13.20元、-4.69%，参考浮亏50.50%，浮动亏损4040.07元；前收13.85元，电力设备-4.11%、净流出58.56亿元，趋势与板块环境均偏弱。</w:t>
      </w:r>
    </w:p>
    <w:p>
      <w:pPr>
        <w:numPr>
          <w:ilvl w:val="0"/>
          <w:numId w:val="1030"/>
        </w:numPr>
        <w:pStyle w:val="Compact"/>
      </w:pPr>
      <w:r>
        <w:t xml:space="preserve">💡 今日动作：减仓观察。深套不是补仓理由；若弱反弹无法收复13.85元，优先借反弹降低仓位，不等待回本价。</w:t>
      </w:r>
    </w:p>
    <w:p>
      <w:pPr>
        <w:numPr>
          <w:ilvl w:val="0"/>
          <w:numId w:val="1030"/>
        </w:numPr>
        <w:pStyle w:val="Compact"/>
      </w:pPr>
      <w:r>
        <w:t xml:space="preserve">🚫 减仓或离场触发：跌破13.20元后30分钟不能收回；或向12.47元风险位靠近且光伏/电力设备继续净流出；冲高跌回开盘价下方也应减仓。</w:t>
      </w:r>
    </w:p>
    <w:p>
      <w:pPr>
        <w:numPr>
          <w:ilvl w:val="0"/>
          <w:numId w:val="1030"/>
        </w:numPr>
        <w:pStyle w:val="Compact"/>
      </w:pPr>
      <w:r>
        <w:t xml:space="preserve">✅ 条件加仓：仅当光伏或电力设备主力转净流入、股价放量收复13.85元并回踩不破，才允许小仓试错；不得无条件摊薄成本。</w:t>
      </w:r>
    </w:p>
    <w:p>
      <w:pPr>
        <w:numPr>
          <w:ilvl w:val="0"/>
          <w:numId w:val="1030"/>
        </w:numPr>
        <w:pStyle w:val="Compact"/>
      </w:pPr>
      <w:r>
        <w:t xml:space="preserve">⚠️ 失效与风险：继续弱于指数、再创新低、板块资金未转正，则修复逻辑失效；高成本、行业供需与弱趋势会继续占用资金。</w:t>
      </w:r>
    </w:p>
    <w:p>
      <w:pPr>
        <w:pStyle w:val="Heading3"/>
      </w:pPr>
      <w:bookmarkStart w:id="56" w:name="风语筑603466700股成本13.2159元"/>
      <w:r>
        <w:t xml:space="preserve">风语筑（603466）｜700股｜成本13.2159元</w:t>
      </w:r>
      <w:bookmarkEnd w:id="56"/>
    </w:p>
    <w:p>
      <w:pPr>
        <w:numPr>
          <w:ilvl w:val="0"/>
          <w:numId w:val="1031"/>
        </w:numPr>
        <w:pStyle w:val="Compact"/>
      </w:pPr>
      <w:r>
        <w:t xml:space="preserve">📉 最新参考价11.67元、-5.43%，参考浮亏11.70%，浮动亏损1082.13元；前收12.34元，计算机-4.86%、净流出107.30亿元，AI事件催化尚未转化为资金共振。</w:t>
      </w:r>
    </w:p>
    <w:p>
      <w:pPr>
        <w:numPr>
          <w:ilvl w:val="0"/>
          <w:numId w:val="1031"/>
        </w:numPr>
        <w:pStyle w:val="Compact"/>
      </w:pPr>
      <w:r>
        <w:t xml:space="preserve">💡 今日动作：减仓观察。若AI应用仅高开脉冲、个股不能收复12.34元，反弹优先降低仓位；不因接近成本价而机械等待。</w:t>
      </w:r>
    </w:p>
    <w:p>
      <w:pPr>
        <w:numPr>
          <w:ilvl w:val="0"/>
          <w:numId w:val="1031"/>
        </w:numPr>
        <w:pStyle w:val="Compact"/>
      </w:pPr>
      <w:r>
        <w:t xml:space="preserve">🚫 减仓或离场触发：跌破11.67元后30分钟不能收回；或逼近11.11元风险位；AI应用/计算机继续净流出且个股弱于板块时执行减仓。</w:t>
      </w:r>
    </w:p>
    <w:p>
      <w:pPr>
        <w:numPr>
          <w:ilvl w:val="0"/>
          <w:numId w:val="1031"/>
        </w:numPr>
        <w:pStyle w:val="Compact"/>
      </w:pPr>
      <w:r>
        <w:t xml:space="preserve">✅ 条件加仓：守住11.11元风险位，放量收复12.34元并回踩有效，同时AI应用或传媒出现多股联动、资金转正后，才可小幅增加。</w:t>
      </w:r>
    </w:p>
    <w:p>
      <w:pPr>
        <w:numPr>
          <w:ilvl w:val="0"/>
          <w:numId w:val="1031"/>
        </w:numPr>
        <w:pStyle w:val="Compact"/>
      </w:pPr>
      <w:r>
        <w:t xml:space="preserve">⚠️ 失效与风险：大会利好兑现、科技抛压扩散、单票冲高回落会使修复逻辑失效；行情为华泰单源。</w:t>
      </w:r>
    </w:p>
    <w:p>
      <w:pPr>
        <w:pStyle w:val="Heading3"/>
      </w:pPr>
      <w:bookmarkStart w:id="57" w:name="工商银行6013981900股成本7.0601元"/>
      <w:r>
        <w:t xml:space="preserve">工商银行（601398）｜1900股｜成本7.0601元</w:t>
      </w:r>
      <w:bookmarkEnd w:id="57"/>
    </w:p>
    <w:p>
      <w:pPr>
        <w:numPr>
          <w:ilvl w:val="0"/>
          <w:numId w:val="1032"/>
        </w:numPr>
        <w:pStyle w:val="Compact"/>
      </w:pPr>
      <w:r>
        <w:t xml:space="preserve">📈 最新参考价7.57元、+2.44%，参考浮盈7.22%，浮动盈利968.81元；前收7.39元，国有大型银行Ⅲ+2.00%、净流入5.11亿元，是组合中最稳健的防御持仓。</w:t>
      </w:r>
    </w:p>
    <w:p>
      <w:pPr>
        <w:numPr>
          <w:ilvl w:val="0"/>
          <w:numId w:val="1032"/>
        </w:numPr>
        <w:pStyle w:val="Compact"/>
      </w:pPr>
      <w:r>
        <w:t xml:space="preserve">💡 今日动作：稳健持有、不追高加仓；用作红利防御底仓，若一致性高开后失去承接则主动保护利润。</w:t>
      </w:r>
    </w:p>
    <w:p>
      <w:pPr>
        <w:numPr>
          <w:ilvl w:val="0"/>
          <w:numId w:val="1032"/>
        </w:numPr>
        <w:pStyle w:val="Compact"/>
      </w:pPr>
      <w:r>
        <w:t xml:space="preserve">🚫 减仓或离场触发：高开后跌破7.39元且30分钟不能收回，国有大行同步弱于上证指数；若板块资金转为明显净流出，可分批减仓。</w:t>
      </w:r>
    </w:p>
    <w:p>
      <w:pPr>
        <w:numPr>
          <w:ilvl w:val="0"/>
          <w:numId w:val="1032"/>
        </w:numPr>
        <w:pStyle w:val="Compact"/>
      </w:pPr>
      <w:r>
        <w:t xml:space="preserve">✅ 条件加仓：回踩7.39元承接有效、重新站上7.57元，且至少三只国有大行强于指数、板块保持净流入时，才可小幅增加。</w:t>
      </w:r>
    </w:p>
    <w:p>
      <w:pPr>
        <w:numPr>
          <w:ilvl w:val="0"/>
          <w:numId w:val="1032"/>
        </w:numPr>
        <w:pStyle w:val="Compact"/>
      </w:pPr>
      <w:r>
        <w:t xml:space="preserve">⚠️ 失效与风险：红利拥挤补跌、净息差压力、利率预期变化及市场系统性下行会削弱防御属性；行情为华泰单源。</w:t>
      </w:r>
    </w:p>
    <w:p>
      <w:pPr>
        <w:pStyle w:val="Heading3"/>
      </w:pPr>
      <w:bookmarkStart w:id="58" w:name="农业银行6012885300股成本6.4244元"/>
      <w:r>
        <w:t xml:space="preserve">农业银行（601288）｜5300股｜成本6.4244元</w:t>
      </w:r>
      <w:bookmarkEnd w:id="58"/>
    </w:p>
    <w:p>
      <w:pPr>
        <w:numPr>
          <w:ilvl w:val="0"/>
          <w:numId w:val="1033"/>
        </w:numPr>
        <w:pStyle w:val="Compact"/>
      </w:pPr>
      <w:r>
        <w:t xml:space="preserve">📉 东方财富结构化资金流单源最新价6.39元、+1.43%，参考浮亏0.54%，浮动亏损182.32元；个股主力净流入1.52亿元，方向与国有大行防御主线共振，但未获新浪/腾讯交叉校验。</w:t>
      </w:r>
    </w:p>
    <w:p>
      <w:pPr>
        <w:numPr>
          <w:ilvl w:val="0"/>
          <w:numId w:val="1033"/>
        </w:numPr>
        <w:pStyle w:val="Compact"/>
      </w:pPr>
      <w:r>
        <w:t xml:space="preserve">💡 今日动作：持有观察，不按6.4244元回本线机械交易；板块强势且6.39元承接有效时继续持有，转弱时保护组合流动性。</w:t>
      </w:r>
    </w:p>
    <w:p>
      <w:pPr>
        <w:numPr>
          <w:ilvl w:val="0"/>
          <w:numId w:val="1033"/>
        </w:numPr>
        <w:pStyle w:val="Compact"/>
      </w:pPr>
      <w:r>
        <w:t xml:space="preserve">🚫 减仓或离场触发：跌破6.39元后30分钟不能收回，并伴随工商银行、建设银行等国有大行同步弱于上证；板块资金转明显净流出时分批减仓。</w:t>
      </w:r>
    </w:p>
    <w:p>
      <w:pPr>
        <w:numPr>
          <w:ilvl w:val="0"/>
          <w:numId w:val="1033"/>
        </w:numPr>
        <w:pStyle w:val="Compact"/>
      </w:pPr>
      <w:r>
        <w:t xml:space="preserve">✅ 条件加仓：实时价收复并站稳6.4244元成本并非充分条件；还需放量强于上证指数、国有大行多数上涨且板块净流入延续，才可小仓增加。</w:t>
      </w:r>
    </w:p>
    <w:p>
      <w:pPr>
        <w:numPr>
          <w:ilvl w:val="0"/>
          <w:numId w:val="1033"/>
        </w:numPr>
        <w:pStyle w:val="Compact"/>
      </w:pPr>
      <w:r>
        <w:t xml:space="preserve">⚠️ 失效与风险：单源价格、红利拥挤、净息差压力和指数系统性回撤；若板块从护盘转补跌，防御逻辑失效。</w:t>
      </w:r>
    </w:p>
    <w:p>
      <w:pPr>
        <w:pStyle w:val="Heading3"/>
      </w:pPr>
      <w:bookmarkStart w:id="59" w:name="组合优先级"/>
      <w:r>
        <w:t xml:space="preserve">📌 组合优先级</w:t>
      </w:r>
      <w:bookmarkEnd w:id="59"/>
    </w:p>
    <w:p>
      <w:pPr>
        <w:numPr>
          <w:ilvl w:val="0"/>
          <w:numId w:val="1034"/>
        </w:numPr>
        <w:pStyle w:val="Compact"/>
      </w:pPr>
      <w:r>
        <w:t xml:space="preserve">⚠️ 最该减仓观察：弘元绿能，参考浮亏50.50%，行业资金环境和个股趋势均偏弱；其次是风语筑，事件催化尚未获得资金确认。</w:t>
      </w:r>
    </w:p>
    <w:p>
      <w:pPr>
        <w:numPr>
          <w:ilvl w:val="0"/>
          <w:numId w:val="1034"/>
        </w:numPr>
        <w:pStyle w:val="Compact"/>
      </w:pPr>
      <w:r>
        <w:t xml:space="preserve">🛡️ 最稳健持有：工商银行，参考浮盈7.22%，与国有大行防御主线共振；农业银行可继续持有观察，但须确认6.39元承接。</w:t>
      </w:r>
    </w:p>
    <w:p>
      <w:pPr>
        <w:numPr>
          <w:ilvl w:val="0"/>
          <w:numId w:val="1034"/>
        </w:numPr>
        <w:pStyle w:val="Compact"/>
      </w:pPr>
      <w:r>
        <w:t xml:space="preserve">✅ 满足条件才可加仓：工商银行需回踩7.39元有效后重回7.57元；农业银行需板块净流入延续并强于指数；风语筑需收复12.34元且AI应用资金转正；弘元绿能在收复13.85元及板块资金转正前不加仓。</w:t>
      </w:r>
    </w:p>
    <w:p>
      <w:r>
        <w:pict>
          <v:rect style="width:0;height:1.5pt" o:hralign="center" o:hrstd="t" o:hr="t"/>
        </w:pict>
      </w:r>
    </w:p>
    <w:p>
      <w:pPr>
        <w:pStyle w:val="BlockText"/>
      </w:pPr>
      <w:r>
        <w:t xml:space="preserve">📊 生成时间：2026-07-20 08:30（北京时间，Asia/Shanghai）</w:t>
      </w:r>
      <w:r>
        <w:t xml:space="preserve"> </w:t>
      </w:r>
      <w:r>
        <w:t xml:space="preserve">🔮 by：先知 v1.0.3 — 周先生出品</w:t>
      </w:r>
      <w:r>
        <w:t xml:space="preserve"> </w:t>
      </w:r>
      <w:r>
        <w:t xml:space="preserve">🔵 数据采集模型：local-python</w:t>
      </w:r>
      <w:r>
        <w:t xml:space="preserve"> </w:t>
      </w:r>
      <w:r>
        <w:t xml:space="preserve">🔴 分析+写稿模型：hermes</w:t>
      </w:r>
      <w:r>
        <w:t xml:space="preserve"> </w:t>
      </w:r>
      <w:r>
        <w:t xml:space="preserve">📄 文档生成：pandoc (markdown → docx)</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991">
    <w:nsid w:val="ea454b4c"/>
    <w:multiLevelType w:val="multilevel"/>
    <w:lvl w:ilvl="0">
      <w:numFmt w:val="bullet"/>
      <w:lvlText w:val="•"/>
      <w:lvlJc w:val="left"/>
      <w:pPr>
        <w:tabs>
          <w:tab w:val="num" w:pos="0"/>
        </w:tabs>
        <w:ind w:left="480" w:hanging="480"/>
      </w:pPr>
    </w:lvl>
    <w:lvl w:ilvl="1">
      <w:numFmt w:val="bullet"/>
      <w:lvlText w:val="–"/>
      <w:lvlJc w:val="left"/>
      <w:pPr>
        <w:tabs>
          <w:tab w:val="num" w:pos="720"/>
        </w:tabs>
        <w:ind w:left="1200" w:hanging="480"/>
      </w:pPr>
    </w:lvl>
    <w:lvl w:ilvl="2">
      <w:numFmt w:val="bullet"/>
      <w:lvlText w:val="•"/>
      <w:lvlJc w:val="left"/>
      <w:pPr>
        <w:tabs>
          <w:tab w:val="num" w:pos="1440"/>
        </w:tabs>
        <w:ind w:left="1920" w:hanging="480"/>
      </w:pPr>
    </w:lvl>
    <w:lvl w:ilvl="3">
      <w:numFmt w:val="bullet"/>
      <w:lvlText w:val="–"/>
      <w:lvlJc w:val="left"/>
      <w:pPr>
        <w:tabs>
          <w:tab w:val="num" w:pos="2160"/>
        </w:tabs>
        <w:ind w:left="2640" w:hanging="480"/>
      </w:pPr>
    </w:lvl>
    <w:lvl w:ilvl="4">
      <w:numFmt w:val="bullet"/>
      <w:lvlText w:val="•"/>
      <w:lvlJc w:val="left"/>
      <w:pPr>
        <w:tabs>
          <w:tab w:val="num" w:pos="2880"/>
        </w:tabs>
        <w:ind w:left="3360" w:hanging="480"/>
      </w:pPr>
    </w:lvl>
    <w:lvl w:ilvl="5">
      <w:numFmt w:val="bullet"/>
      <w:lvlText w:val="–"/>
      <w:lvlJc w:val="left"/>
      <w:pPr>
        <w:tabs>
          <w:tab w:val="num" w:pos="3600"/>
        </w:tabs>
        <w:ind w:left="4080" w:hanging="480"/>
      </w:pPr>
    </w:lvl>
    <w:lvl w:ilvl="6">
      <w:numFmt w:val="bullet"/>
      <w:lvlText w:val="•"/>
      <w:lvlJc w:val="left"/>
      <w:pPr>
        <w:tabs>
          <w:tab w:val="num" w:pos="4320"/>
        </w:tabs>
        <w:ind w:left="4800" w:hanging="480"/>
      </w:pPr>
    </w:lvl>
    <w:lvl w:ilvl="7">
      <w:numFmt w:val="bullet"/>
      <w:lvlText w:val="–"/>
      <w:lvlJc w:val="left"/>
      <w:pPr>
        <w:tabs>
          <w:tab w:val="num" w:pos="5040"/>
        </w:tabs>
        <w:ind w:left="5520" w:hanging="480"/>
      </w:pPr>
    </w:lvl>
    <w:lvl w:ilvl="8">
      <w:numFmt w:val="bullet"/>
      <w:lvlText w:val="•"/>
      <w:lvlJc w:val="left"/>
      <w:pPr>
        <w:tabs>
          <w:tab w:val="num" w:pos="5760"/>
        </w:tabs>
        <w:ind w:left="6240" w:hanging="480"/>
      </w:pPr>
    </w:lvl>
  </w:abstractNum>
  <w:abstractNum w:abstractNumId="99411">
    <w:nsid w:val="71315dca"/>
    <w:multiLevelType w:val="multilevel"/>
    <w:lvl w:ilvl="0">
      <w:start w:val="1"/>
      <w:numFmt w:val="decimal"/>
      <w:lvlText w:val="%1."/>
      <w:lvlJc w:val="left"/>
      <w:pPr>
        <w:tabs>
          <w:tab w:val="num" w:pos="0"/>
        </w:tabs>
        <w:ind w:left="480" w:hanging="480"/>
      </w:pPr>
    </w:lvl>
    <w:lvl w:ilvl="1">
      <w:start w:val="1"/>
      <w:numFmt w:val="decimal"/>
      <w:lvlText w:val="%2."/>
      <w:lvlJc w:val="left"/>
      <w:pPr>
        <w:tabs>
          <w:tab w:val="num" w:pos="720"/>
        </w:tabs>
        <w:ind w:left="1200" w:hanging="480"/>
      </w:pPr>
    </w:lvl>
    <w:lvl w:ilvl="2">
      <w:start w:val="1"/>
      <w:numFmt w:val="decimal"/>
      <w:lvlText w:val="%3."/>
      <w:lvlJc w:val="left"/>
      <w:pPr>
        <w:tabs>
          <w:tab w:val="num" w:pos="1440"/>
        </w:tabs>
        <w:ind w:left="1920" w:hanging="480"/>
      </w:pPr>
    </w:lvl>
    <w:lvl w:ilvl="3">
      <w:start w:val="1"/>
      <w:numFmt w:val="decimal"/>
      <w:lvlText w:val="%4."/>
      <w:lvlJc w:val="left"/>
      <w:pPr>
        <w:tabs>
          <w:tab w:val="num" w:pos="2160"/>
        </w:tabs>
        <w:ind w:left="2640" w:hanging="480"/>
      </w:pPr>
    </w:lvl>
    <w:lvl w:ilvl="4">
      <w:start w:val="1"/>
      <w:numFmt w:val="decimal"/>
      <w:lvlText w:val="%5."/>
      <w:lvlJc w:val="left"/>
      <w:pPr>
        <w:tabs>
          <w:tab w:val="num" w:pos="2880"/>
        </w:tabs>
        <w:ind w:left="3360" w:hanging="480"/>
      </w:pPr>
    </w:lvl>
    <w:lvl w:ilvl="5">
      <w:start w:val="1"/>
      <w:numFmt w:val="decimal"/>
      <w:lvlText w:val="%6."/>
      <w:lvlJc w:val="left"/>
      <w:pPr>
        <w:tabs>
          <w:tab w:val="num" w:pos="3600"/>
        </w:tabs>
        <w:ind w:left="4080" w:hanging="480"/>
      </w:pPr>
    </w:lvl>
    <w:lvl w:ilvl="6">
      <w:start w:val="1"/>
      <w:numFmt w:val="decimal"/>
      <w:lvlText w:val="%7."/>
      <w:lvlJc w:val="left"/>
      <w:pPr>
        <w:tabs>
          <w:tab w:val="num" w:pos="4320"/>
        </w:tabs>
        <w:ind w:left="4800" w:hanging="480"/>
      </w:pPr>
    </w:lvl>
    <w:lvl w:ilvl="7">
      <w:start w:val="1"/>
      <w:numFmt w:val="decimal"/>
      <w:lvlText w:val="%8."/>
      <w:lvlJc w:val="left"/>
      <w:pPr>
        <w:tabs>
          <w:tab w:val="num" w:pos="5040"/>
        </w:tabs>
        <w:ind w:left="5520" w:hanging="480"/>
      </w:pPr>
    </w:lvl>
    <w:lvl w:ilvl="8">
      <w:start w:val="1"/>
      <w:numFmt w:val="decimal"/>
      <w:lvlText w:val="%9."/>
      <w:lvlJc w:val="left"/>
      <w:pPr>
        <w:tabs>
          <w:tab w:val="num" w:pos="5760"/>
        </w:tabs>
        <w:ind w:left="624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9">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0">
    <w:abstractNumId w:val="991"/>
  </w:num>
  <w:num w:numId="1021">
    <w:abstractNumId w:val="991"/>
  </w:num>
  <w:num w:numId="1022">
    <w:abstractNumId w:val="991"/>
  </w:num>
  <w:num w:numId="1023">
    <w:abstractNumId w:val="991"/>
  </w:num>
  <w:num w:numId="1024">
    <w:abstractNumId w:val="991"/>
  </w:num>
  <w:num w:numId="1025">
    <w:abstractNumId w:val="991"/>
  </w:num>
  <w:num w:numId="1026">
    <w:abstractNumId w:val="991"/>
  </w:num>
  <w:num w:numId="1027">
    <w:abstractNumId w:val="991"/>
  </w:num>
  <w:num w:numId="1028">
    <w:abstractNumId w:val="991"/>
  </w:num>
  <w:num w:numId="1029">
    <w:abstractNumId w:val="991"/>
  </w:num>
  <w:num w:numId="1030">
    <w:abstractNumId w:val="991"/>
  </w:num>
  <w:num w:numId="1031">
    <w:abstractNumId w:val="991"/>
  </w:num>
  <w:num w:numId="1032">
    <w:abstractNumId w:val="991"/>
  </w:num>
  <w:num w:numId="1033">
    <w:abstractNumId w:val="991"/>
  </w:num>
  <w:num w:numId="1034">
    <w:abstractNumId w:val="99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4F81BD" w:themeColor="accent1"/>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28"/>
      <w:szCs w:val="28"/>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4"/>
      <w:szCs w:val="24"/>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i/>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sz w:val="24"/>
      <w:szCs w:val="24"/>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sz w:val="24"/>
      <w:szCs w:val="24"/>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left="480" w:right="480"/>
    </w:p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
    <w:name w:val="Table"/>
    <w:basedOn w:val="TableNormal"/>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
<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2026-07-20T00:37:44Z</dcterms:created>
  <dcterms:modified xsi:type="dcterms:W3CDTF">2026-07-20T00:37:44Z</dcterms:modified>
</cp:coreProperties>
</file>

<file path=docProps/custom.xml><?xml version="1.0" encoding="utf-8"?>
<Properties xmlns="http://schemas.openxmlformats.org/officeDocument/2006/custom-properties" xmlns:vt="http://schemas.openxmlformats.org/officeDocument/2006/docPropsVTypes"/>
</file>