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17周五"/>
      <w:r>
        <w:t xml:space="preserve">🌅 盘前简报 | 2026-07-17（周五）</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富时中国A50期指报14849.25点、-0.27%，对A股开盘情绪形成轻度压制。</w:t>
      </w:r>
    </w:p>
    <w:p>
      <w:pPr>
        <w:numPr>
          <w:ilvl w:val="0"/>
          <w:numId w:val="1001"/>
        </w:numPr>
        <w:pStyle w:val="Compact"/>
      </w:pPr>
      <w:r>
        <w:t xml:space="preserve">📈 恒生指数上一交易日收24681.102点、+1.33%；该数据不是今日港股早盘行情，今日港股开盘表现未核验。</w:t>
      </w:r>
    </w:p>
    <w:p>
      <w:pPr>
        <w:numPr>
          <w:ilvl w:val="0"/>
          <w:numId w:val="1001"/>
        </w:numPr>
        <w:pStyle w:val="Compact"/>
      </w:pPr>
      <w:r>
        <w:t xml:space="preserve">💱 美元离岸人民币报6.7743、+0.02%，汇率波动有限；COMEX黄金报3987.64、-0.11%，WTI原油报78.916、+0.81%，伦铜报13509.895、-0.65%。</w:t>
      </w:r>
    </w:p>
    <w:p>
      <w:pPr>
        <w:numPr>
          <w:ilvl w:val="0"/>
          <w:numId w:val="1001"/>
        </w:numPr>
        <w:pStyle w:val="Compact"/>
      </w:pPr>
      <w:r>
        <w:t xml:space="preserve">⚠️ 采集JSON未提供美股三大指数、欧洲股市及重点中概股的结构化行情，具体点位与涨跌幅均标记为未核验。</w:t>
      </w:r>
    </w:p>
    <w:p>
      <w:pPr>
        <w:numPr>
          <w:ilvl w:val="0"/>
          <w:numId w:val="1001"/>
        </w:numPr>
        <w:pStyle w:val="Compact"/>
      </w:pPr>
      <w:r>
        <w:t xml:space="preserve">🧭 华泰文本提及美股科技承压、中概消费传媒偏强，但未获新浪、东方财富或腾讯结构化行情交叉验证，本报告不采用其中具体数值。</w:t>
      </w:r>
    </w:p>
    <w:p>
      <w:r>
        <w:pict>
          <v:rect style="width:0;height:1.5pt" o:hralign="center" o:hrstd="t" o:hr="t"/>
        </w:pict>
      </w:r>
    </w:p>
    <w:p>
      <w:pPr>
        <w:pStyle w:val="Heading2"/>
      </w:pPr>
      <w:bookmarkStart w:id="22" w:name="新闻联播政策面"/>
      <w:r>
        <w:t xml:space="preserve">📺 新闻联播政策面</w:t>
      </w:r>
      <w:bookmarkEnd w:id="22"/>
    </w:p>
    <w:p>
      <w:pPr>
        <w:pStyle w:val="BlockText"/>
      </w:pPr>
      <w:r>
        <w:t xml:space="preserve">数据核验：央视《新闻联播》播出日期为2026-07-16，采集时间2026-07-17 08:30:23；节目目录13条、详情成功13条，数量一致。来源为央视网，存档路径为</w:t>
      </w:r>
      <w:r>
        <w:rPr>
          <w:rStyle w:val="VerbatimChar"/>
        </w:rPr>
        <w:t xml:space="preserve">memory/xinwenlianbo/2026-07-16.md</w:t>
      </w:r>
      <w:r>
        <w:t xml:space="preserve">。</w:t>
      </w:r>
    </w:p>
    <w:p>
      <w:pPr>
        <w:pStyle w:val="Heading3"/>
      </w:pPr>
      <w:bookmarkStart w:id="23" w:name="总体分析"/>
      <w:r>
        <w:t xml:space="preserve">📌 总体分析</w:t>
      </w:r>
      <w:bookmarkEnd w:id="23"/>
    </w:p>
    <w:p>
      <w:pPr>
        <w:numPr>
          <w:ilvl w:val="0"/>
          <w:numId w:val="1002"/>
        </w:numPr>
        <w:pStyle w:val="Compact"/>
      </w:pPr>
      <w:r>
        <w:t xml:space="preserve">🤖 2026世界人工智能大会今日在上海开幕，是最明确的事件催化；1100多家参展企业、300多款全球首发产品与158场论坛提供AI应用、端侧设备、算力基础设施的验证场景，但昨日半导体和通信资金大幅流出，交易上应优先应用端、回避硬件高位补跌。</w:t>
      </w:r>
    </w:p>
    <w:p>
      <w:pPr>
        <w:numPr>
          <w:ilvl w:val="0"/>
          <w:numId w:val="1002"/>
        </w:numPr>
        <w:pStyle w:val="Compact"/>
      </w:pPr>
      <w:r>
        <w:t xml:space="preserve">🏙️ 城市更新、完整社区和便民生活圈继续获得高层强调，防汛关键期同步到来，利好城市更新、水利排涝、应急装备，但必须等待板块资金与成交确认。</w:t>
      </w:r>
    </w:p>
    <w:p>
      <w:pPr>
        <w:numPr>
          <w:ilvl w:val="0"/>
          <w:numId w:val="1002"/>
        </w:numPr>
        <w:pStyle w:val="Compact"/>
      </w:pPr>
      <w:r>
        <w:t xml:space="preserve">🌱</w:t>
      </w:r>
      <w:r>
        <w:t xml:space="preserve"> </w:t>
      </w:r>
      <w:r>
        <w:t xml:space="preserve">“</w:t>
      </w:r>
      <w:r>
        <w:t xml:space="preserve">十五五</w:t>
      </w:r>
      <w:r>
        <w:t xml:space="preserve">”</w:t>
      </w:r>
      <w:r>
        <w:t xml:space="preserve">绿色转型与碳市场扩容信号延续，上半年全国碳市场成交量5296万吨、同比增长37%；环保、碳交易和绿色化工具备中期映射，短线尚无本地资金共振证据。</w:t>
      </w:r>
    </w:p>
    <w:p>
      <w:pPr>
        <w:numPr>
          <w:ilvl w:val="0"/>
          <w:numId w:val="1002"/>
        </w:numPr>
        <w:pStyle w:val="Compact"/>
      </w:pPr>
      <w:r>
        <w:t xml:space="preserve">🚆 中哈经贸、交通、能源矿产、跨境电商和数字经济合作获得元首层面推动，中欧班列（西安）累计开行超3000列，跨境物流和中亚合作具备政策线索。</w:t>
      </w:r>
    </w:p>
    <w:p>
      <w:pPr>
        <w:numPr>
          <w:ilvl w:val="0"/>
          <w:numId w:val="1002"/>
        </w:numPr>
        <w:pStyle w:val="Compact"/>
      </w:pPr>
      <w:r>
        <w:t xml:space="preserve">🛢️ 美伊军事冲突继续升级，霍尔木兹海峡风险上升，WTI原油+0.81%；油气、油运存在事件溢价，航空和化工下游承受成本风险，局势缓和会令溢价快速回吐。</w:t>
      </w:r>
    </w:p>
    <w:p>
      <w:pPr>
        <w:numPr>
          <w:ilvl w:val="0"/>
          <w:numId w:val="1002"/>
        </w:numPr>
        <w:pStyle w:val="Compact"/>
      </w:pPr>
      <w:r>
        <w:t xml:space="preserve">⚠️ 整体政策面对AI应用、城市更新、绿色转型偏利好，但昨日A股科技硬件发生集中撤退，政策催化不能替代资金和价格确认。</w:t>
      </w:r>
    </w:p>
    <w:p>
      <w:pPr>
        <w:pStyle w:val="Heading3"/>
      </w:pPr>
      <w:bookmarkStart w:id="24" w:name="逐条新闻解读"/>
      <w:r>
        <w:t xml:space="preserve">📰 逐条新闻解读</w:t>
      </w:r>
      <w:bookmarkEnd w:id="24"/>
    </w:p>
    <w:p>
      <w:pPr>
        <w:pStyle w:val="Heading4"/>
      </w:pPr>
      <w:bookmarkStart w:id="25" w:name="习近平会见哈萨克斯坦总统"/>
      <w:r>
        <w:t xml:space="preserve">习近平会见哈萨克斯坦总统</w:t>
      </w:r>
      <w:bookmarkEnd w:id="25"/>
    </w:p>
    <w:p>
      <w:pPr>
        <w:numPr>
          <w:ilvl w:val="0"/>
          <w:numId w:val="1003"/>
        </w:numPr>
        <w:pStyle w:val="Compact"/>
      </w:pPr>
      <w:r>
        <w:t xml:space="preserve">A股影响：偏利好</w:t>
      </w:r>
    </w:p>
    <w:p>
      <w:pPr>
        <w:numPr>
          <w:ilvl w:val="0"/>
          <w:numId w:val="1003"/>
        </w:numPr>
        <w:pStyle w:val="Compact"/>
      </w:pPr>
      <w:r>
        <w:t xml:space="preserve">相关板块：跨境电商、中欧班列、能源矿产、数字经济、人工智能</w:t>
      </w:r>
    </w:p>
    <w:p>
      <w:pPr>
        <w:numPr>
          <w:ilvl w:val="0"/>
          <w:numId w:val="1003"/>
        </w:numPr>
        <w:pStyle w:val="Compact"/>
      </w:pPr>
      <w:r>
        <w:t xml:space="preserve">核心解读：双方明确推动贸易创新、能源矿产、交通互联互通及人工智能合作，并见证经贸、交通、财政等文件，政策层级高于一般交流。</w:t>
      </w:r>
    </w:p>
    <w:p>
      <w:pPr>
        <w:numPr>
          <w:ilvl w:val="0"/>
          <w:numId w:val="1003"/>
        </w:numPr>
        <w:pStyle w:val="Compact"/>
      </w:pPr>
      <w:r>
        <w:t xml:space="preserve">验证条件：中亚物流、跨境电商或能源合作出现项目订单并获资金持续流入；若仅高开脉冲、没有订单落地则降级观察。</w:t>
      </w:r>
    </w:p>
    <w:p>
      <w:pPr>
        <w:pStyle w:val="Heading4"/>
      </w:pPr>
      <w:bookmarkStart w:id="26" w:name="求是杂志发表习近平总书记重要文章在庆祝中国共产党成立105周年大会上的讲话"/>
      <w:r>
        <w:t xml:space="preserve">《求是》杂志发表习近平总书记重要文章《在庆祝中国共产党成立105周年大会上的讲话》</w:t>
      </w:r>
      <w:bookmarkEnd w:id="26"/>
    </w:p>
    <w:p>
      <w:pPr>
        <w:numPr>
          <w:ilvl w:val="0"/>
          <w:numId w:val="1004"/>
        </w:numPr>
        <w:pStyle w:val="Compact"/>
      </w:pPr>
      <w:r>
        <w:t xml:space="preserve">A股影响：中性</w:t>
      </w:r>
    </w:p>
    <w:p>
      <w:pPr>
        <w:numPr>
          <w:ilvl w:val="0"/>
          <w:numId w:val="1004"/>
        </w:numPr>
        <w:pStyle w:val="Compact"/>
      </w:pPr>
      <w:r>
        <w:t xml:space="preserve">相关板块：无直接映射</w:t>
      </w:r>
    </w:p>
    <w:p>
      <w:pPr>
        <w:numPr>
          <w:ilvl w:val="0"/>
          <w:numId w:val="1004"/>
        </w:numPr>
        <w:pStyle w:val="Compact"/>
      </w:pPr>
      <w:r>
        <w:t xml:space="preserve">核心解读：文章聚焦党的建设、高质量发展与统筹发展安全，属于长期治理与政策定调，不对应单一行业增量订单。</w:t>
      </w:r>
    </w:p>
    <w:p>
      <w:pPr>
        <w:numPr>
          <w:ilvl w:val="0"/>
          <w:numId w:val="1004"/>
        </w:numPr>
        <w:pStyle w:val="Compact"/>
      </w:pPr>
      <w:r>
        <w:t xml:space="preserve">验证条件：后续需有具体产业、财政或监管政策落地；没有增量政策时不据此交易。</w:t>
      </w:r>
    </w:p>
    <w:p>
      <w:pPr>
        <w:pStyle w:val="Heading4"/>
      </w:pPr>
      <w:bookmarkStart w:id="27" w:name="Xd3b7d17cf28c25a6a62b16e38a9cb9813071eb6"/>
      <w:r>
        <w:t xml:space="preserve">用心用情为居民做好事 办实事 解难事——习近平总书记在上海考察时的重要讲话引发热烈反响</w:t>
      </w:r>
      <w:bookmarkEnd w:id="27"/>
    </w:p>
    <w:p>
      <w:pPr>
        <w:numPr>
          <w:ilvl w:val="0"/>
          <w:numId w:val="1005"/>
        </w:numPr>
        <w:pStyle w:val="Compact"/>
      </w:pPr>
      <w:r>
        <w:t xml:space="preserve">A股影响：偏利好</w:t>
      </w:r>
    </w:p>
    <w:p>
      <w:pPr>
        <w:numPr>
          <w:ilvl w:val="0"/>
          <w:numId w:val="1005"/>
        </w:numPr>
        <w:pStyle w:val="Compact"/>
      </w:pPr>
      <w:r>
        <w:t xml:space="preserve">相关板块：城市更新、老旧小区改造、智慧社区、防汛水利</w:t>
      </w:r>
    </w:p>
    <w:p>
      <w:pPr>
        <w:numPr>
          <w:ilvl w:val="0"/>
          <w:numId w:val="1005"/>
        </w:numPr>
        <w:pStyle w:val="Compact"/>
      </w:pPr>
      <w:r>
        <w:t xml:space="preserve">核心解读：完整社区、便民生活圈和旧住房改造获持续强调，并叠加</w:t>
      </w:r>
      <w:r>
        <w:t xml:space="preserve">“</w:t>
      </w:r>
      <w:r>
        <w:t xml:space="preserve">七下八上</w:t>
      </w:r>
      <w:r>
        <w:t xml:space="preserve">”</w:t>
      </w:r>
      <w:r>
        <w:t xml:space="preserve">防汛关键期，形成民生基建与韧性城市双线索。</w:t>
      </w:r>
    </w:p>
    <w:p>
      <w:pPr>
        <w:numPr>
          <w:ilvl w:val="0"/>
          <w:numId w:val="1005"/>
        </w:numPr>
        <w:pStyle w:val="Compact"/>
      </w:pPr>
      <w:r>
        <w:t xml:space="preserve">验证条件：建筑改造、排水管网和应急装备板块放量联动，并有地方项目或订单落地；板块冲高回落则短线映射失效。</w:t>
      </w:r>
    </w:p>
    <w:p>
      <w:pPr>
        <w:pStyle w:val="Heading4"/>
      </w:pPr>
      <w:bookmarkStart w:id="28" w:name="央视快评全面践行人民城市理念"/>
      <w:r>
        <w:t xml:space="preserve">央视快评：全面践行人民城市理念</w:t>
      </w:r>
      <w:bookmarkEnd w:id="28"/>
    </w:p>
    <w:p>
      <w:pPr>
        <w:numPr>
          <w:ilvl w:val="0"/>
          <w:numId w:val="1006"/>
        </w:numPr>
        <w:pStyle w:val="Compact"/>
      </w:pPr>
      <w:r>
        <w:t xml:space="preserve">A股影响：偏利好</w:t>
      </w:r>
    </w:p>
    <w:p>
      <w:pPr>
        <w:numPr>
          <w:ilvl w:val="0"/>
          <w:numId w:val="1006"/>
        </w:numPr>
        <w:pStyle w:val="Compact"/>
      </w:pPr>
      <w:r>
        <w:t xml:space="preserve">相关板块：城市更新、社区服务、智慧城市</w:t>
      </w:r>
    </w:p>
    <w:p>
      <w:pPr>
        <w:numPr>
          <w:ilvl w:val="0"/>
          <w:numId w:val="1006"/>
        </w:numPr>
        <w:pStyle w:val="Compact"/>
      </w:pPr>
      <w:r>
        <w:t xml:space="preserve">核心解读：快评强化人民城市与城市更新政策方向，但正文仅为评论播发，未披露新增资金、项目或量化目标。</w:t>
      </w:r>
    </w:p>
    <w:p>
      <w:pPr>
        <w:numPr>
          <w:ilvl w:val="0"/>
          <w:numId w:val="1006"/>
        </w:numPr>
        <w:pStyle w:val="Compact"/>
      </w:pPr>
      <w:r>
        <w:t xml:space="preserve">验证条件：需等待地方实施细则、预算和项目清单；缺少资金与订单确认时只作政策观察。</w:t>
      </w:r>
    </w:p>
    <w:p>
      <w:pPr>
        <w:pStyle w:val="Heading4"/>
      </w:pPr>
      <w:bookmarkStart w:id="29" w:name="习近平谈治国理政第五卷哈萨克斯坦推介会在阿斯塔纳举行"/>
      <w:r>
        <w:t xml:space="preserve">《习近平谈治国理政》第五卷哈萨克斯坦推介会在阿斯塔纳举行</w:t>
      </w:r>
      <w:bookmarkEnd w:id="29"/>
    </w:p>
    <w:p>
      <w:pPr>
        <w:numPr>
          <w:ilvl w:val="0"/>
          <w:numId w:val="1007"/>
        </w:numPr>
        <w:pStyle w:val="Compact"/>
      </w:pPr>
      <w:r>
        <w:t xml:space="preserve">A股影响：中性</w:t>
      </w:r>
    </w:p>
    <w:p>
      <w:pPr>
        <w:numPr>
          <w:ilvl w:val="0"/>
          <w:numId w:val="1007"/>
        </w:numPr>
        <w:pStyle w:val="Compact"/>
      </w:pPr>
      <w:r>
        <w:t xml:space="preserve">相关板块：中哈人文交流；无直接短线映射</w:t>
      </w:r>
    </w:p>
    <w:p>
      <w:pPr>
        <w:numPr>
          <w:ilvl w:val="0"/>
          <w:numId w:val="1007"/>
        </w:numPr>
        <w:pStyle w:val="Compact"/>
      </w:pPr>
      <w:r>
        <w:t xml:space="preserve">核心解读：活动以治国理政经验交流和中哈友好为主，没有新增产业项目或上市公司订单信息。</w:t>
      </w:r>
    </w:p>
    <w:p>
      <w:pPr>
        <w:numPr>
          <w:ilvl w:val="0"/>
          <w:numId w:val="1007"/>
        </w:numPr>
        <w:pStyle w:val="Compact"/>
      </w:pPr>
      <w:r>
        <w:t xml:space="preserve">验证条件：后续出现经贸、物流或投资项目后再评估；否则保持中性。</w:t>
      </w:r>
    </w:p>
    <w:p>
      <w:pPr>
        <w:pStyle w:val="Heading4"/>
      </w:pPr>
      <w:bookmarkStart w:id="30" w:name="李强同柬埔寨首相会谈"/>
      <w:r>
        <w:t xml:space="preserve">李强同柬埔寨首相会谈</w:t>
      </w:r>
      <w:bookmarkEnd w:id="30"/>
    </w:p>
    <w:p>
      <w:pPr>
        <w:numPr>
          <w:ilvl w:val="0"/>
          <w:numId w:val="1008"/>
        </w:numPr>
        <w:pStyle w:val="Compact"/>
      </w:pPr>
      <w:r>
        <w:t xml:space="preserve">A股影响：偏利好</w:t>
      </w:r>
    </w:p>
    <w:p>
      <w:pPr>
        <w:numPr>
          <w:ilvl w:val="0"/>
          <w:numId w:val="1008"/>
        </w:numPr>
        <w:pStyle w:val="Compact"/>
      </w:pPr>
      <w:r>
        <w:t xml:space="preserve">相关板块：东南亚基建、新能源、人工智能、数字经济、跨境安全</w:t>
      </w:r>
    </w:p>
    <w:p>
      <w:pPr>
        <w:numPr>
          <w:ilvl w:val="0"/>
          <w:numId w:val="1008"/>
        </w:numPr>
        <w:pStyle w:val="Compact"/>
      </w:pPr>
      <w:r>
        <w:t xml:space="preserve">核心解读：双方明确推进基础设施、贸易、新能源、AI和数字经济合作，并支持中国企业赴柬投资，具备</w:t>
      </w:r>
      <w:r>
        <w:t xml:space="preserve">“</w:t>
      </w:r>
      <w:r>
        <w:t xml:space="preserve">走出去</w:t>
      </w:r>
      <w:r>
        <w:t xml:space="preserve">”</w:t>
      </w:r>
      <w:r>
        <w:t xml:space="preserve">与区域合作逻辑。</w:t>
      </w:r>
    </w:p>
    <w:p>
      <w:pPr>
        <w:numPr>
          <w:ilvl w:val="0"/>
          <w:numId w:val="1008"/>
        </w:numPr>
        <w:pStyle w:val="Compact"/>
      </w:pPr>
      <w:r>
        <w:t xml:space="preserve">验证条件：出现企业合同、投资额或项目开工，相关板块成交和资金同步增强；没有项目兑现则不追题材。</w:t>
      </w:r>
    </w:p>
    <w:p>
      <w:pPr>
        <w:pStyle w:val="Heading4"/>
      </w:pPr>
      <w:bookmarkStart w:id="31" w:name="王沪宁出席中朝友好合作互助条约签订65周年纪念招待会"/>
      <w:r>
        <w:t xml:space="preserve">王沪宁出席《中朝友好合作互助条约》签订65周年纪念招待会</w:t>
      </w:r>
      <w:bookmarkEnd w:id="31"/>
    </w:p>
    <w:p>
      <w:pPr>
        <w:numPr>
          <w:ilvl w:val="0"/>
          <w:numId w:val="1009"/>
        </w:numPr>
        <w:pStyle w:val="Compact"/>
      </w:pPr>
      <w:r>
        <w:t xml:space="preserve">A股影响：中性</w:t>
      </w:r>
    </w:p>
    <w:p>
      <w:pPr>
        <w:numPr>
          <w:ilvl w:val="0"/>
          <w:numId w:val="1009"/>
        </w:numPr>
        <w:pStyle w:val="Compact"/>
      </w:pPr>
      <w:r>
        <w:t xml:space="preserve">相关板块：东北亚合作；无直接映射</w:t>
      </w:r>
    </w:p>
    <w:p>
      <w:pPr>
        <w:numPr>
          <w:ilvl w:val="0"/>
          <w:numId w:val="1009"/>
        </w:numPr>
        <w:pStyle w:val="Compact"/>
      </w:pPr>
      <w:r>
        <w:t xml:space="preserve">核心解读：内容集中于政治互信、友好合作与地区稳定，没有披露经贸、基建或产业合作项目。</w:t>
      </w:r>
    </w:p>
    <w:p>
      <w:pPr>
        <w:numPr>
          <w:ilvl w:val="0"/>
          <w:numId w:val="1009"/>
        </w:numPr>
        <w:pStyle w:val="Compact"/>
      </w:pPr>
      <w:r>
        <w:t xml:space="preserve">验证条件：后续出现跨境贸易、口岸或物流项目才具备产业映射；否则不作为交易依据。</w:t>
      </w:r>
    </w:p>
    <w:p>
      <w:pPr>
        <w:pStyle w:val="Heading4"/>
      </w:pPr>
      <w:bookmarkStart w:id="32" w:name="世界人工智能大会暨人工智能全球治理高级别会议明天开幕"/>
      <w:r>
        <w:t xml:space="preserve">2026世界人工智能大会暨人工智能全球治理高级别会议明天开幕</w:t>
      </w:r>
      <w:bookmarkEnd w:id="32"/>
    </w:p>
    <w:p>
      <w:pPr>
        <w:numPr>
          <w:ilvl w:val="0"/>
          <w:numId w:val="1010"/>
        </w:numPr>
        <w:pStyle w:val="Compact"/>
      </w:pPr>
      <w:r>
        <w:t xml:space="preserve">A股影响：利好</w:t>
      </w:r>
    </w:p>
    <w:p>
      <w:pPr>
        <w:numPr>
          <w:ilvl w:val="0"/>
          <w:numId w:val="1010"/>
        </w:numPr>
        <w:pStyle w:val="Compact"/>
      </w:pPr>
      <w:r>
        <w:t xml:space="preserve">相关板块：AI应用、端侧AI、数字内容、算力基础设施、数据治理</w:t>
      </w:r>
    </w:p>
    <w:p>
      <w:pPr>
        <w:numPr>
          <w:ilvl w:val="0"/>
          <w:numId w:val="1010"/>
        </w:numPr>
        <w:pStyle w:val="Compact"/>
      </w:pPr>
      <w:r>
        <w:t xml:space="preserve">核心解读：大会今日开幕，1100多家企业、300多款全球首发产品、158场论坛构成高密度产业催化；昨日计算机获主力净流入20.85亿元，但电子和半导体分别净流出369.75亿元、265.37亿元，应用端明显优于高位硬件。</w:t>
      </w:r>
    </w:p>
    <w:p>
      <w:pPr>
        <w:numPr>
          <w:ilvl w:val="0"/>
          <w:numId w:val="1010"/>
        </w:numPr>
        <w:pStyle w:val="Compact"/>
      </w:pPr>
      <w:r>
        <w:t xml:space="preserve">验证条件：计算机、软件和传媒继续净流入，紫光股份、拓维信息、云赛智联等核心股不出现高开低走；若资金转流出或硬件跌势扩散，催化交易失效。</w:t>
      </w:r>
    </w:p>
    <w:p>
      <w:pPr>
        <w:pStyle w:val="Heading4"/>
      </w:pPr>
      <w:bookmarkStart w:id="33" w:name="在高质量发展中保障和改善民生形势政策系列报告会第四场报告会在京举行"/>
      <w:r>
        <w:t xml:space="preserve">“</w:t>
      </w:r>
      <w:r>
        <w:t xml:space="preserve">在高质量发展中保障和改善民生</w:t>
      </w:r>
      <w:r>
        <w:t xml:space="preserve">”</w:t>
      </w:r>
      <w:r>
        <w:t xml:space="preserve">形势政策系列报告会第四场报告会在京举行</w:t>
      </w:r>
      <w:bookmarkEnd w:id="33"/>
    </w:p>
    <w:p>
      <w:pPr>
        <w:numPr>
          <w:ilvl w:val="0"/>
          <w:numId w:val="1011"/>
        </w:numPr>
        <w:pStyle w:val="Compact"/>
      </w:pPr>
      <w:r>
        <w:t xml:space="preserve">A股影响：偏利好</w:t>
      </w:r>
    </w:p>
    <w:p>
      <w:pPr>
        <w:numPr>
          <w:ilvl w:val="0"/>
          <w:numId w:val="1011"/>
        </w:numPr>
        <w:pStyle w:val="Compact"/>
      </w:pPr>
      <w:r>
        <w:t xml:space="preserve">相关板块：环保治理、生态修复、绿色转型、碳市场</w:t>
      </w:r>
    </w:p>
    <w:p>
      <w:pPr>
        <w:numPr>
          <w:ilvl w:val="0"/>
          <w:numId w:val="1011"/>
        </w:numPr>
        <w:pStyle w:val="Compact"/>
      </w:pPr>
      <w:r>
        <w:t xml:space="preserve">核心解读：</w:t>
      </w:r>
      <w:r>
        <w:t xml:space="preserve">“</w:t>
      </w:r>
      <w:r>
        <w:t xml:space="preserve">十五五</w:t>
      </w:r>
      <w:r>
        <w:t xml:space="preserve">”</w:t>
      </w:r>
      <w:r>
        <w:t xml:space="preserve">时期继续推进污染防治、生态系统优化和经济社会全面绿色转型，属于中长期政策方向。</w:t>
      </w:r>
    </w:p>
    <w:p>
      <w:pPr>
        <w:numPr>
          <w:ilvl w:val="0"/>
          <w:numId w:val="1011"/>
        </w:numPr>
        <w:pStyle w:val="Compact"/>
      </w:pPr>
      <w:r>
        <w:t xml:space="preserve">验证条件：环保板块出现订单、业绩和资金共振；若只有政策表态、没有项目与盈利兑现，则维持中期观察。</w:t>
      </w:r>
    </w:p>
    <w:p>
      <w:pPr>
        <w:pStyle w:val="Heading4"/>
      </w:pPr>
      <w:bookmarkStart w:id="34" w:name="强降雨将影响我国多地-各地各部门积极应对"/>
      <w:r>
        <w:t xml:space="preserve">强降雨将影响我国多地 各地各部门积极应对</w:t>
      </w:r>
      <w:bookmarkEnd w:id="34"/>
    </w:p>
    <w:p>
      <w:pPr>
        <w:numPr>
          <w:ilvl w:val="0"/>
          <w:numId w:val="1012"/>
        </w:numPr>
        <w:pStyle w:val="Compact"/>
      </w:pPr>
      <w:r>
        <w:t xml:space="preserve">A股影响：结构性利好</w:t>
      </w:r>
    </w:p>
    <w:p>
      <w:pPr>
        <w:numPr>
          <w:ilvl w:val="0"/>
          <w:numId w:val="1012"/>
        </w:numPr>
        <w:pStyle w:val="Compact"/>
      </w:pPr>
      <w:r>
        <w:t xml:space="preserve">相关板块：水利建设、排水管网、应急装备、灾后修复</w:t>
      </w:r>
    </w:p>
    <w:p>
      <w:pPr>
        <w:numPr>
          <w:ilvl w:val="0"/>
          <w:numId w:val="1012"/>
        </w:numPr>
        <w:pStyle w:val="Compact"/>
      </w:pPr>
      <w:r>
        <w:t xml:space="preserve">核心解读：多地进入防汛关键期，国家防总对山西、河南、陕西启动防汛四级应急响应，现实抢险与物资需求上升。</w:t>
      </w:r>
    </w:p>
    <w:p>
      <w:pPr>
        <w:numPr>
          <w:ilvl w:val="0"/>
          <w:numId w:val="1012"/>
        </w:numPr>
        <w:pStyle w:val="Compact"/>
      </w:pPr>
      <w:r>
        <w:t xml:space="preserve">验证条件：水利、排涝和应急装备板块放量扩散；降雨减弱或板块高开低走时，事件催化失效。</w:t>
      </w:r>
    </w:p>
    <w:p>
      <w:pPr>
        <w:pStyle w:val="Heading4"/>
      </w:pPr>
      <w:bookmarkStart w:id="35" w:name="国内联播快讯"/>
      <w:r>
        <w:t xml:space="preserve">国内联播快讯</w:t>
      </w:r>
      <w:bookmarkEnd w:id="35"/>
    </w:p>
    <w:p>
      <w:pPr>
        <w:numPr>
          <w:ilvl w:val="0"/>
          <w:numId w:val="1013"/>
        </w:numPr>
        <w:pStyle w:val="Compact"/>
      </w:pPr>
      <w:r>
        <w:t xml:space="preserve">A股影响：结构性利好</w:t>
      </w:r>
    </w:p>
    <w:p>
      <w:pPr>
        <w:numPr>
          <w:ilvl w:val="0"/>
          <w:numId w:val="1013"/>
        </w:numPr>
        <w:pStyle w:val="Compact"/>
      </w:pPr>
      <w:r>
        <w:t xml:space="preserve">相关板块：碳交易、中欧班列、乙烯化工、乡村振兴、军工教育</w:t>
      </w:r>
    </w:p>
    <w:p>
      <w:pPr>
        <w:numPr>
          <w:ilvl w:val="0"/>
          <w:numId w:val="1013"/>
        </w:numPr>
        <w:pStyle w:val="Compact"/>
      </w:pPr>
      <w:r>
        <w:t xml:space="preserve">核心解读：上半年碳市场成交量5296万吨、同比增长37%；中欧班列（西安）累计开行超3000列、同比增长8.3%；塔里木120万吨乙烯绿色低碳示范工程投产，绿色转型、跨境物流与化工产能形成明确数据线索。</w:t>
      </w:r>
    </w:p>
    <w:p>
      <w:pPr>
        <w:numPr>
          <w:ilvl w:val="0"/>
          <w:numId w:val="1013"/>
        </w:numPr>
        <w:pStyle w:val="Compact"/>
      </w:pPr>
      <w:r>
        <w:t xml:space="preserve">验证条件：碳交易、物流和化工方向出现资金净流入与成交扩散；若新增产能引发供给压力或板块资金不响应，则不升级为主线。</w:t>
      </w:r>
    </w:p>
    <w:p>
      <w:pPr>
        <w:pStyle w:val="Heading4"/>
      </w:pPr>
      <w:bookmarkStart w:id="36" w:name="美称对伊朗发动多轮打击-伊朗称打击美进攻性基础设施"/>
      <w:r>
        <w:t xml:space="preserve">美称对伊朗发动多轮打击 伊朗称打击美进攻性基础设施</w:t>
      </w:r>
      <w:bookmarkEnd w:id="36"/>
    </w:p>
    <w:p>
      <w:pPr>
        <w:numPr>
          <w:ilvl w:val="0"/>
          <w:numId w:val="1014"/>
        </w:numPr>
        <w:pStyle w:val="Compact"/>
      </w:pPr>
      <w:r>
        <w:t xml:space="preserve">A股影响：结构性利好与利空并存</w:t>
      </w:r>
    </w:p>
    <w:p>
      <w:pPr>
        <w:numPr>
          <w:ilvl w:val="0"/>
          <w:numId w:val="1014"/>
        </w:numPr>
        <w:pStyle w:val="Compact"/>
      </w:pPr>
      <w:r>
        <w:t xml:space="preserve">相关板块：油气、油运、军工；航空、化工下游偏利空</w:t>
      </w:r>
    </w:p>
    <w:p>
      <w:pPr>
        <w:numPr>
          <w:ilvl w:val="0"/>
          <w:numId w:val="1014"/>
        </w:numPr>
        <w:pStyle w:val="Compact"/>
      </w:pPr>
      <w:r>
        <w:t xml:space="preserve">核心解读：美伊互相打击并涉及区域军事设施，霍尔木兹海峡安全风险上升；WTI原油报78.916、+0.81%，能源事件溢价仍在。</w:t>
      </w:r>
    </w:p>
    <w:p>
      <w:pPr>
        <w:numPr>
          <w:ilvl w:val="0"/>
          <w:numId w:val="1014"/>
        </w:numPr>
        <w:pStyle w:val="Compact"/>
      </w:pPr>
      <w:r>
        <w:t xml:space="preserve">验证条件：油价继续走强且A股油气、油运放量；若冲突缓和、油价转跌或板块高开低走，事件交易立即降级。</w:t>
      </w:r>
    </w:p>
    <w:p>
      <w:pPr>
        <w:pStyle w:val="Heading4"/>
      </w:pPr>
      <w:bookmarkStart w:id="37" w:name="国际联播快讯"/>
      <w:r>
        <w:t xml:space="preserve">国际联播快讯</w:t>
      </w:r>
      <w:bookmarkEnd w:id="37"/>
    </w:p>
    <w:p>
      <w:pPr>
        <w:numPr>
          <w:ilvl w:val="0"/>
          <w:numId w:val="1015"/>
        </w:numPr>
        <w:pStyle w:val="Compact"/>
      </w:pPr>
      <w:r>
        <w:t xml:space="preserve">A股影响：中性偏风险</w:t>
      </w:r>
    </w:p>
    <w:p>
      <w:pPr>
        <w:numPr>
          <w:ilvl w:val="0"/>
          <w:numId w:val="1015"/>
        </w:numPr>
        <w:pStyle w:val="Compact"/>
      </w:pPr>
      <w:r>
        <w:t xml:space="preserve">相关板块：军工、无人机、外贸、航运、林业防灾</w:t>
      </w:r>
    </w:p>
    <w:p>
      <w:pPr>
        <w:numPr>
          <w:ilvl w:val="0"/>
          <w:numId w:val="1015"/>
        </w:numPr>
        <w:pStyle w:val="Compact"/>
      </w:pPr>
      <w:r>
        <w:t xml:space="preserve">核心解读：俄乌武器合作延续，美国关税政策被指拖累德国经济复苏，加拿大林火影响交通与空气质量；全球贸易和地缘风险没有消退。</w:t>
      </w:r>
    </w:p>
    <w:p>
      <w:pPr>
        <w:numPr>
          <w:ilvl w:val="0"/>
          <w:numId w:val="1015"/>
        </w:numPr>
        <w:pStyle w:val="Compact"/>
      </w:pPr>
      <w:r>
        <w:t xml:space="preserve">验证条件：观察军工、航运、外贸链及欧洲市场是否形成资产价格共振；没有A股板块联动时不做事件交易。</w:t>
      </w:r>
    </w:p>
    <w:p>
      <w:r>
        <w:pict>
          <v:rect style="width:0;height:1.5pt" o:hralign="center" o:hrstd="t" o:hr="t"/>
        </w:pict>
      </w:r>
    </w:p>
    <w:p>
      <w:pPr>
        <w:pStyle w:val="Heading2"/>
      </w:pPr>
      <w:bookmarkStart w:id="38" w:name="今日重要公告"/>
      <w:r>
        <w:t xml:space="preserve">📋 今日重要公告</w:t>
      </w:r>
      <w:bookmarkEnd w:id="38"/>
    </w:p>
    <w:p>
      <w:pPr>
        <w:numPr>
          <w:ilvl w:val="0"/>
          <w:numId w:val="1016"/>
        </w:numPr>
        <w:pStyle w:val="Compact"/>
      </w:pPr>
      <w:r>
        <w:t xml:space="preserve">📈 澜起科技（688008）披露2026年半年度业绩预增及董事长兼CEO提议回购A股股份，构成基本面和信心支持；同时公司公告配合韩国相关调查，昨日股价211.13元、-16.44%，主力净流出21.67亿元，利好与调查风险并存，不宜仅凭预增抄底。</w:t>
      </w:r>
    </w:p>
    <w:p>
      <w:pPr>
        <w:numPr>
          <w:ilvl w:val="0"/>
          <w:numId w:val="1016"/>
        </w:numPr>
        <w:pStyle w:val="Compact"/>
      </w:pPr>
      <w:r>
        <w:t xml:space="preserve">🔄 浙江美大（002677）公告控制权拟发生变更并于今日复牌；具体交易价格、受让方能力及后续方案需阅读公告原文，复牌波动风险高。</w:t>
      </w:r>
    </w:p>
    <w:p>
      <w:pPr>
        <w:numPr>
          <w:ilvl w:val="0"/>
          <w:numId w:val="1016"/>
        </w:numPr>
        <w:pStyle w:val="Compact"/>
      </w:pPr>
      <w:r>
        <w:t xml:space="preserve">⚠️ 长芯博创（300548）披露定增限售股解除限售并上市流通，潜在供给压力需结合解禁数量、占流通股比例和股东减持意愿评估；采集JSON未提供这些数值。</w:t>
      </w:r>
    </w:p>
    <w:p>
      <w:pPr>
        <w:numPr>
          <w:ilvl w:val="0"/>
          <w:numId w:val="1016"/>
        </w:numPr>
        <w:pStyle w:val="Compact"/>
      </w:pPr>
      <w:r>
        <w:t xml:space="preserve">🧩 TCL科技（000100）披露发行股份及支付现金购买资产报告书上会稿，重组进程推进；交易估值、摊薄和审核结果未在采集JSON展开，暂不下确定结论。</w:t>
      </w:r>
    </w:p>
    <w:p>
      <w:pPr>
        <w:numPr>
          <w:ilvl w:val="0"/>
          <w:numId w:val="1016"/>
        </w:numPr>
        <w:pStyle w:val="Compact"/>
      </w:pPr>
      <w:r>
        <w:t xml:space="preserve">📄 雪榕生物（300511）披露持股5%以上股东股份解除司法冻结，事件偏正面，但股东后续处置意愿未核验。</w:t>
      </w:r>
    </w:p>
    <w:p>
      <w:pPr>
        <w:numPr>
          <w:ilvl w:val="0"/>
          <w:numId w:val="1016"/>
        </w:numPr>
        <w:pStyle w:val="Compact"/>
      </w:pPr>
      <w:r>
        <w:t xml:space="preserve">🚫</w:t>
      </w:r>
      <w:r>
        <w:t xml:space="preserve"> </w:t>
      </w:r>
      <w:r>
        <w:rPr>
          <w:i/>
        </w:rPr>
        <w:t xml:space="preserve">ST摩登（002656）集中回复2025年年报问询，</w:t>
      </w:r>
      <w:r>
        <w:t xml:space="preserve">ST东易（002713）披露商誉减值测试说明，均属于高风险信息，优先回避未经充分核验的ST交易。</w:t>
      </w:r>
    </w:p>
    <w:p>
      <w:r>
        <w:pict>
          <v:rect style="width:0;height:1.5pt" o:hralign="center" o:hrstd="t" o:hr="t"/>
        </w:pict>
      </w:r>
    </w:p>
    <w:p>
      <w:pPr>
        <w:pStyle w:val="Heading2"/>
      </w:pPr>
      <w:bookmarkStart w:id="39" w:name="今日经济数据与事件"/>
      <w:r>
        <w:t xml:space="preserve">📅 今日经济数据与事件</w:t>
      </w:r>
      <w:bookmarkEnd w:id="39"/>
    </w:p>
    <w:p>
      <w:pPr>
        <w:numPr>
          <w:ilvl w:val="0"/>
          <w:numId w:val="1017"/>
        </w:numPr>
        <w:pStyle w:val="Compact"/>
      </w:pPr>
      <w:r>
        <w:t xml:space="preserve">🤖 2026世界人工智能大会暨人工智能全球治理高级别会议今日在上海开幕，这是本轮已由央视结构化来源确认的核心产业事件。</w:t>
      </w:r>
    </w:p>
    <w:p>
      <w:pPr>
        <w:numPr>
          <w:ilvl w:val="0"/>
          <w:numId w:val="1017"/>
        </w:numPr>
        <w:pStyle w:val="Compact"/>
      </w:pPr>
      <w:r>
        <w:t xml:space="preserve">📊 采集JSON未提供今日国内CPI、PPI、PMI、GDP、社融、M2、MLF、LPR或逆回购的权威发布时间表，全部标记为未核验。</w:t>
      </w:r>
    </w:p>
    <w:p>
      <w:pPr>
        <w:numPr>
          <w:ilvl w:val="0"/>
          <w:numId w:val="1017"/>
        </w:numPr>
        <w:pStyle w:val="Compact"/>
      </w:pPr>
      <w:r>
        <w:t xml:space="preserve">🌍 海外经济日历、央行会议及科技巨头发布日程未获得结构化确认，不根据未经核验的时间点调整仓位。</w:t>
      </w:r>
    </w:p>
    <w:p>
      <w:pPr>
        <w:numPr>
          <w:ilvl w:val="0"/>
          <w:numId w:val="1017"/>
        </w:numPr>
        <w:pStyle w:val="Compact"/>
      </w:pPr>
      <w:r>
        <w:t xml:space="preserve">💡 盘中重点验证9:25竞价、开盘后30分钟量价、WAIC相关板块扩散、半导体跌停风险是否收敛，以及油价与油气板块是否共振。</w:t>
      </w:r>
    </w:p>
    <w:p>
      <w:r>
        <w:pict>
          <v:rect style="width:0;height:1.5pt" o:hralign="center" o:hrstd="t" o:hr="t"/>
        </w:pict>
      </w:r>
    </w:p>
    <w:p>
      <w:pPr>
        <w:pStyle w:val="Heading2"/>
      </w:pPr>
      <w:bookmarkStart w:id="40" w:name="全球重要事件"/>
      <w:r>
        <w:t xml:space="preserve">🌍 全球重要事件</w:t>
      </w:r>
      <w:bookmarkEnd w:id="40"/>
    </w:p>
    <w:p>
      <w:pPr>
        <w:numPr>
          <w:ilvl w:val="0"/>
          <w:numId w:val="1018"/>
        </w:numPr>
        <w:pStyle w:val="Compact"/>
      </w:pPr>
      <w:r>
        <w:t xml:space="preserve">🛢️ 美伊冲突升级，伊朗再次强调霍尔木兹海峡安全安排；WTI原油+0.81%，油气、油运和军工存在溢价，航空和化工下游承压。</w:t>
      </w:r>
    </w:p>
    <w:p>
      <w:pPr>
        <w:numPr>
          <w:ilvl w:val="0"/>
          <w:numId w:val="1018"/>
        </w:numPr>
        <w:pStyle w:val="Compact"/>
      </w:pPr>
      <w:r>
        <w:t xml:space="preserve">⚔️ 乌克兰与欧盟推进无人机、拦截导弹等武器合作，俄方要求停止供武，军工供应链仍受事件驱动，但持续性取决于订单与局势。</w:t>
      </w:r>
    </w:p>
    <w:p>
      <w:pPr>
        <w:numPr>
          <w:ilvl w:val="0"/>
          <w:numId w:val="1018"/>
        </w:numPr>
        <w:pStyle w:val="Compact"/>
      </w:pPr>
      <w:r>
        <w:t xml:space="preserve">📉 德国总理称美国关税政策拖累德国经济复苏，外需和欧洲业务占比较高的出口链需警惕订单与汇率风险。</w:t>
      </w:r>
    </w:p>
    <w:p>
      <w:pPr>
        <w:numPr>
          <w:ilvl w:val="0"/>
          <w:numId w:val="1018"/>
        </w:numPr>
        <w:pStyle w:val="Compact"/>
      </w:pPr>
      <w:r>
        <w:t xml:space="preserve">🔥 加拿大林火影响铁路和空气质量，属于区域性供应链与运输扰动；采集信息不足以确认对A股上市公司的直接订单影响。</w:t>
      </w:r>
    </w:p>
    <w:p>
      <w:pPr>
        <w:numPr>
          <w:ilvl w:val="0"/>
          <w:numId w:val="1018"/>
        </w:numPr>
        <w:pStyle w:val="Compact"/>
      </w:pPr>
      <w:r>
        <w:t xml:space="preserve">🤝 黎巴嫩政府与以色列谈判取得进展，若中东局势局部缓和，能源和军工的事件溢价可能与美伊冲突影响相互对冲。</w:t>
      </w:r>
    </w:p>
    <w:p>
      <w:r>
        <w:pict>
          <v:rect style="width:0;height:1.5pt" o:hralign="center" o:hrstd="t" o:hr="t"/>
        </w:pict>
      </w:r>
    </w:p>
    <w:p>
      <w:pPr>
        <w:pStyle w:val="Heading2"/>
      </w:pPr>
      <w:bookmarkStart w:id="41" w:name="昨日复盘要点"/>
      <w:r>
        <w:t xml:space="preserve">📊 昨日复盘要点</w:t>
      </w:r>
      <w:bookmarkEnd w:id="41"/>
    </w:p>
    <w:p>
      <w:pPr>
        <w:numPr>
          <w:ilvl w:val="0"/>
          <w:numId w:val="1019"/>
        </w:numPr>
        <w:pStyle w:val="Compact"/>
      </w:pPr>
      <w:r>
        <w:t xml:space="preserve">📉 上证指数3882.4126点、-1.8497%；深证成指14488.654点、-1.9672%；创业板指3692.457点、-2.9502%；科创50报1846.8766点、-4.0221%；沪深300报4698.4344点、-1.8457%。新浪、东方财富、腾讯三源校验一致。</w:t>
      </w:r>
    </w:p>
    <w:p>
      <w:pPr>
        <w:numPr>
          <w:ilvl w:val="0"/>
          <w:numId w:val="1019"/>
        </w:numPr>
        <w:pStyle w:val="Compact"/>
      </w:pPr>
      <w:r>
        <w:t xml:space="preserve">📉 同花顺完整单源显示上涨2499家、下跌2861家、平盘164家，涨停48家、跌停38家；赚钱效应偏弱但不是全面普跌，该组事实状态为</w:t>
      </w:r>
      <w:r>
        <w:rPr>
          <w:rStyle w:val="VerbatimChar"/>
        </w:rPr>
        <w:t xml:space="preserve">single_source</w:t>
      </w:r>
      <w:r>
        <w:t xml:space="preserve">。</w:t>
      </w:r>
    </w:p>
    <w:p>
      <w:pPr>
        <w:numPr>
          <w:ilvl w:val="0"/>
          <w:numId w:val="1019"/>
        </w:numPr>
        <w:pStyle w:val="Compact"/>
      </w:pPr>
      <w:r>
        <w:t xml:space="preserve">💰 同花顺完整单源确认全市场成交额24189.11亿元；</w:t>
      </w:r>
      <w:r>
        <w:rPr>
          <w:rStyle w:val="VerbatimChar"/>
        </w:rPr>
        <w:t xml:space="preserve">turnover_comparison_scope=unverified</w:t>
      </w:r>
      <w:r>
        <w:t xml:space="preserve">，因此只引用原始金额，不使用与昨日的变化百分比。</w:t>
      </w:r>
    </w:p>
    <w:p>
      <w:pPr>
        <w:numPr>
          <w:ilvl w:val="0"/>
          <w:numId w:val="1019"/>
        </w:numPr>
        <w:pStyle w:val="Compact"/>
      </w:pPr>
      <w:r>
        <w:t xml:space="preserve">🎭</w:t>
      </w:r>
      <w:r>
        <w:t xml:space="preserve"> </w:t>
      </w:r>
      <w:r>
        <w:rPr>
          <w:rStyle w:val="VerbatimChar"/>
        </w:rPr>
        <w:t xml:space="preserve">derived.market_style</w:t>
      </w:r>
      <w:r>
        <w:t xml:space="preserve">为</w:t>
      </w:r>
      <w:r>
        <w:t xml:space="preserve">“</w:t>
      </w:r>
      <w:r>
        <w:t xml:space="preserve">偏弱/防御</w:t>
      </w:r>
      <w:r>
        <w:t xml:space="preserve">”</w:t>
      </w:r>
      <w:r>
        <w:t xml:space="preserve">；派生仓位上限40%，激进/均衡/保守参考仓位分别为40%/25%/10%。</w:t>
      </w:r>
    </w:p>
    <w:p>
      <w:pPr>
        <w:numPr>
          <w:ilvl w:val="0"/>
          <w:numId w:val="1019"/>
        </w:numPr>
        <w:pStyle w:val="Compact"/>
      </w:pPr>
      <w:r>
        <w:t xml:space="preserve">⚠️ 关键源覆盖率6/7（85.71%），缺失的是</w:t>
      </w:r>
      <w:r>
        <w:rPr>
          <w:rStyle w:val="VerbatimChar"/>
        </w:rPr>
        <w:t xml:space="preserve">limit_stocks</w:t>
      </w:r>
      <w:r>
        <w:t xml:space="preserve">；涨停48家、跌停38家可用同花顺广度事实，但缺少涨跌停个股样本，题材扩散结论需降级。</w:t>
      </w:r>
    </w:p>
    <w:p>
      <w:pPr>
        <w:numPr>
          <w:ilvl w:val="0"/>
          <w:numId w:val="1019"/>
        </w:numPr>
        <w:pStyle w:val="Compact"/>
      </w:pPr>
      <w:r>
        <w:t xml:space="preserve">🔄 资金高低切换明显：计算机、传媒、影视获净流入，电子、半导体、通信则大幅净流出；科技内部不能笼统看多。</w:t>
      </w:r>
    </w:p>
    <w:p>
      <w:r>
        <w:pict>
          <v:rect style="width:0;height:1.5pt" o:hralign="center" o:hrstd="t" o:hr="t"/>
        </w:pict>
      </w:r>
    </w:p>
    <w:p>
      <w:pPr>
        <w:pStyle w:val="Heading2"/>
      </w:pPr>
      <w:bookmarkStart w:id="42" w:name="昨日资金流向top10"/>
      <w:r>
        <w:t xml:space="preserve">💰 昨日资金流向TOP10</w:t>
      </w:r>
      <w:bookmarkEnd w:id="42"/>
    </w:p>
    <w:p>
      <w:pPr>
        <w:pStyle w:val="Heading3"/>
      </w:pPr>
      <w:bookmarkStart w:id="43" w:name="板块主力净流入top10"/>
      <w:r>
        <w:t xml:space="preserve">📈 板块主力净流入TOP10</w:t>
      </w:r>
      <w:bookmarkEnd w:id="43"/>
    </w:p>
    <w:p>
      <w:pPr>
        <w:numPr>
          <w:ilvl w:val="0"/>
          <w:numId w:val="1020"/>
        </w:numPr>
        <w:pStyle w:val="Compact"/>
      </w:pPr>
      <w:r>
        <w:t xml:space="preserve">计算机：+20.85亿元</w:t>
      </w:r>
    </w:p>
    <w:p>
      <w:pPr>
        <w:numPr>
          <w:ilvl w:val="0"/>
          <w:numId w:val="1020"/>
        </w:numPr>
        <w:pStyle w:val="Compact"/>
      </w:pPr>
      <w:r>
        <w:t xml:space="preserve">IT服务Ⅲ：+14.51亿元</w:t>
      </w:r>
    </w:p>
    <w:p>
      <w:pPr>
        <w:numPr>
          <w:ilvl w:val="0"/>
          <w:numId w:val="1020"/>
        </w:numPr>
        <w:pStyle w:val="Compact"/>
      </w:pPr>
      <w:r>
        <w:t xml:space="preserve">IT服务Ⅱ：+14.51亿元</w:t>
      </w:r>
    </w:p>
    <w:p>
      <w:pPr>
        <w:numPr>
          <w:ilvl w:val="0"/>
          <w:numId w:val="1020"/>
        </w:numPr>
        <w:pStyle w:val="Compact"/>
      </w:pPr>
      <w:r>
        <w:t xml:space="preserve">印制电路板：+9.44亿元</w:t>
      </w:r>
    </w:p>
    <w:p>
      <w:pPr>
        <w:numPr>
          <w:ilvl w:val="0"/>
          <w:numId w:val="1020"/>
        </w:numPr>
        <w:pStyle w:val="Compact"/>
      </w:pPr>
      <w:r>
        <w:t xml:space="preserve">传媒：+8.30亿元</w:t>
      </w:r>
    </w:p>
    <w:p>
      <w:pPr>
        <w:numPr>
          <w:ilvl w:val="0"/>
          <w:numId w:val="1020"/>
        </w:numPr>
        <w:pStyle w:val="Compact"/>
      </w:pPr>
      <w:r>
        <w:t xml:space="preserve">软件开发：+7.28亿元</w:t>
      </w:r>
    </w:p>
    <w:p>
      <w:pPr>
        <w:numPr>
          <w:ilvl w:val="0"/>
          <w:numId w:val="1020"/>
        </w:numPr>
        <w:pStyle w:val="Compact"/>
      </w:pPr>
      <w:r>
        <w:t xml:space="preserve">汽车：+7.12亿元</w:t>
      </w:r>
    </w:p>
    <w:p>
      <w:pPr>
        <w:numPr>
          <w:ilvl w:val="0"/>
          <w:numId w:val="1020"/>
        </w:numPr>
        <w:pStyle w:val="Compact"/>
      </w:pPr>
      <w:r>
        <w:t xml:space="preserve">影视院线：+6.32亿元</w:t>
      </w:r>
    </w:p>
    <w:p>
      <w:pPr>
        <w:numPr>
          <w:ilvl w:val="0"/>
          <w:numId w:val="1020"/>
        </w:numPr>
        <w:pStyle w:val="Compact"/>
      </w:pPr>
      <w:r>
        <w:t xml:space="preserve">广告营销：+6.28亿元</w:t>
      </w:r>
    </w:p>
    <w:p>
      <w:pPr>
        <w:numPr>
          <w:ilvl w:val="0"/>
          <w:numId w:val="1020"/>
        </w:numPr>
        <w:pStyle w:val="Compact"/>
      </w:pPr>
      <w:r>
        <w:t xml:space="preserve">营销代理：+6.11亿元</w:t>
      </w:r>
    </w:p>
    <w:p>
      <w:pPr>
        <w:pStyle w:val="BlockText"/>
      </w:pPr>
      <w:r>
        <w:t xml:space="preserve">💡 榜单来自东方财富结构化资金流。IT服务Ⅱ/Ⅲ、广告营销/营销代理存在行业层级重叠，应视为同一方向的不同分类，不能把金额简单相加。</w:t>
      </w:r>
    </w:p>
    <w:p>
      <w:pPr>
        <w:pStyle w:val="Heading3"/>
      </w:pPr>
      <w:bookmarkStart w:id="44" w:name="板块主力净流出top10"/>
      <w:r>
        <w:t xml:space="preserve">📉 板块主力净流出TOP10</w:t>
      </w:r>
      <w:bookmarkEnd w:id="44"/>
    </w:p>
    <w:p>
      <w:pPr>
        <w:numPr>
          <w:ilvl w:val="0"/>
          <w:numId w:val="1021"/>
        </w:numPr>
        <w:pStyle w:val="Compact"/>
      </w:pPr>
      <w:r>
        <w:t xml:space="preserve">电子：-369.75亿元</w:t>
      </w:r>
    </w:p>
    <w:p>
      <w:pPr>
        <w:numPr>
          <w:ilvl w:val="0"/>
          <w:numId w:val="1021"/>
        </w:numPr>
        <w:pStyle w:val="Compact"/>
      </w:pPr>
      <w:r>
        <w:t xml:space="preserve">半导体：-265.37亿元</w:t>
      </w:r>
    </w:p>
    <w:p>
      <w:pPr>
        <w:numPr>
          <w:ilvl w:val="0"/>
          <w:numId w:val="1021"/>
        </w:numPr>
        <w:pStyle w:val="Compact"/>
      </w:pPr>
      <w:r>
        <w:t xml:space="preserve">通信：-115.38亿元</w:t>
      </w:r>
    </w:p>
    <w:p>
      <w:pPr>
        <w:numPr>
          <w:ilvl w:val="0"/>
          <w:numId w:val="1021"/>
        </w:numPr>
        <w:pStyle w:val="Compact"/>
      </w:pPr>
      <w:r>
        <w:t xml:space="preserve">通信设备：-114.79亿元</w:t>
      </w:r>
    </w:p>
    <w:p>
      <w:pPr>
        <w:numPr>
          <w:ilvl w:val="0"/>
          <w:numId w:val="1021"/>
        </w:numPr>
        <w:pStyle w:val="Compact"/>
      </w:pPr>
      <w:r>
        <w:t xml:space="preserve">数字芯片设计：-100.58亿元</w:t>
      </w:r>
    </w:p>
    <w:p>
      <w:pPr>
        <w:numPr>
          <w:ilvl w:val="0"/>
          <w:numId w:val="1021"/>
        </w:numPr>
        <w:pStyle w:val="Compact"/>
      </w:pPr>
      <w:r>
        <w:t xml:space="preserve">通信网络设备及器件：-80.06亿元</w:t>
      </w:r>
    </w:p>
    <w:p>
      <w:pPr>
        <w:numPr>
          <w:ilvl w:val="0"/>
          <w:numId w:val="1021"/>
        </w:numPr>
        <w:pStyle w:val="Compact"/>
      </w:pPr>
      <w:r>
        <w:t xml:space="preserve">电力设备：-67.75亿元</w:t>
      </w:r>
    </w:p>
    <w:p>
      <w:pPr>
        <w:numPr>
          <w:ilvl w:val="0"/>
          <w:numId w:val="1021"/>
        </w:numPr>
        <w:pStyle w:val="Compact"/>
      </w:pPr>
      <w:r>
        <w:t xml:space="preserve">机械设备：-66.76亿元</w:t>
      </w:r>
    </w:p>
    <w:p>
      <w:pPr>
        <w:numPr>
          <w:ilvl w:val="0"/>
          <w:numId w:val="1021"/>
        </w:numPr>
        <w:pStyle w:val="Compact"/>
      </w:pPr>
      <w:r>
        <w:t xml:space="preserve">半导体设备：-55.50亿元</w:t>
      </w:r>
    </w:p>
    <w:p>
      <w:pPr>
        <w:numPr>
          <w:ilvl w:val="0"/>
          <w:numId w:val="1021"/>
        </w:numPr>
        <w:pStyle w:val="Compact"/>
      </w:pPr>
      <w:r>
        <w:t xml:space="preserve">半导体材料：-52.56亿元</w:t>
      </w:r>
    </w:p>
    <w:p>
      <w:pPr>
        <w:pStyle w:val="BlockText"/>
      </w:pPr>
      <w:r>
        <w:t xml:space="preserve">⚠️ 电子、半导体、通信及其子行业同样存在层级重叠，但撤退方向一致；高位AI硬件、存储、封测、光模块不宜因WAIC催化盲目抄底。</w:t>
      </w:r>
    </w:p>
    <w:p>
      <w:r>
        <w:pict>
          <v:rect style="width:0;height:1.5pt" o:hralign="center" o:hrstd="t" o:hr="t"/>
        </w:pict>
      </w:r>
    </w:p>
    <w:p>
      <w:pPr>
        <w:pStyle w:val="Heading2"/>
      </w:pPr>
      <w:bookmarkStart w:id="45" w:name="华泰自选股观察"/>
      <w:r>
        <w:t xml:space="preserve">🧾 华泰自选股观察</w:t>
      </w:r>
      <w:bookmarkEnd w:id="45"/>
    </w:p>
    <w:p>
      <w:pPr>
        <w:numPr>
          <w:ilvl w:val="0"/>
          <w:numId w:val="1022"/>
        </w:numPr>
        <w:pStyle w:val="Compact"/>
      </w:pPr>
      <w:r>
        <w:t xml:space="preserve">📌 华泰自选股共3只，行情成功3只：风语筑+3.35%最强，弘元绿能-0.93%、工商银行-1.60%。行情为华泰单源，执行前需用券商实时行情复核。</w:t>
      </w:r>
    </w:p>
    <w:p>
      <w:pPr>
        <w:numPr>
          <w:ilvl w:val="0"/>
          <w:numId w:val="1022"/>
        </w:numPr>
        <w:pStyle w:val="Compact"/>
      </w:pPr>
      <w:r>
        <w:t xml:space="preserve">🧭 风语筑与WAIC、传媒和数字文化方向共振；工商银行承担防御功能；弘元绿能与昨日资金主线无明显共振。除风语筑满足条件外，整体以跟踪为主、暂不作为主攻方向。</w:t>
      </w:r>
    </w:p>
    <w:p>
      <w:pPr>
        <w:pStyle w:val="Heading3"/>
      </w:pPr>
      <w:bookmarkStart w:id="46" w:name="弘元绿能603185"/>
      <w:r>
        <w:t xml:space="preserve">1️⃣ 弘元绿能（603185）</w:t>
      </w:r>
      <w:bookmarkEnd w:id="46"/>
    </w:p>
    <w:p>
      <w:pPr>
        <w:numPr>
          <w:ilvl w:val="0"/>
          <w:numId w:val="1023"/>
        </w:numPr>
        <w:pStyle w:val="Compact"/>
      </w:pPr>
      <w:r>
        <w:t xml:space="preserve">📉 华泰单源最新价13.85元、-0.93%，前收13.98元，未停牌；当日涨跌停参考价15.38元/12.58元。</w:t>
      </w:r>
    </w:p>
    <w:p>
      <w:pPr>
        <w:numPr>
          <w:ilvl w:val="0"/>
          <w:numId w:val="1023"/>
        </w:numPr>
        <w:pStyle w:val="Compact"/>
      </w:pPr>
      <w:r>
        <w:t xml:space="preserve">🧩 所属光伏制造、硅片与新能源设备；昨日电力设备主力净流出67.75亿元，板块环境偏弱。</w:t>
      </w:r>
    </w:p>
    <w:p>
      <w:pPr>
        <w:numPr>
          <w:ilvl w:val="0"/>
          <w:numId w:val="1023"/>
        </w:numPr>
        <w:pStyle w:val="Compact"/>
      </w:pPr>
      <w:r>
        <w:t xml:space="preserve">🔄 主线关系：与WAIC、计算机、传媒资金主线不共振，绿色转型政策仅构成中期弱映射。</w:t>
      </w:r>
    </w:p>
    <w:p>
      <w:pPr>
        <w:numPr>
          <w:ilvl w:val="0"/>
          <w:numId w:val="1023"/>
        </w:numPr>
        <w:pStyle w:val="Compact"/>
      </w:pPr>
      <w:r>
        <w:t xml:space="preserve">💡 判断：偏弱、继续观察，不追高；只有电力设备/光伏资金转正且个股重新站稳13.98元，才可低吸跟踪。</w:t>
      </w:r>
    </w:p>
    <w:p>
      <w:pPr>
        <w:pStyle w:val="Heading3"/>
      </w:pPr>
      <w:bookmarkStart w:id="47" w:name="风语筑603466"/>
      <w:r>
        <w:t xml:space="preserve">2️⃣ 风语筑（603466）</w:t>
      </w:r>
      <w:bookmarkEnd w:id="47"/>
    </w:p>
    <w:p>
      <w:pPr>
        <w:numPr>
          <w:ilvl w:val="0"/>
          <w:numId w:val="1024"/>
        </w:numPr>
        <w:pStyle w:val="Compact"/>
      </w:pPr>
      <w:r>
        <w:t xml:space="preserve">📈 华泰单源最新价12.34元、+3.35%，前收11.94元，未停牌；当日涨跌停参考价13.13元/10.75元。</w:t>
      </w:r>
    </w:p>
    <w:p>
      <w:pPr>
        <w:numPr>
          <w:ilvl w:val="0"/>
          <w:numId w:val="1024"/>
        </w:numPr>
        <w:pStyle w:val="Compact"/>
      </w:pPr>
      <w:r>
        <w:t xml:space="preserve">🧩 所属数字文化展示、沉浸式体验和AI应用；传媒主力净流入8.30亿元，广告营销净流入6.28亿元，WAIC今日开幕。</w:t>
      </w:r>
    </w:p>
    <w:p>
      <w:pPr>
        <w:numPr>
          <w:ilvl w:val="0"/>
          <w:numId w:val="1024"/>
        </w:numPr>
        <w:pStyle w:val="Compact"/>
      </w:pPr>
      <w:r>
        <w:t xml:space="preserve">🔄 主线关系：与AI应用、数字文化和传媒方向共振，但尚无新浪/东方财富/腾讯个股行情交叉验证。</w:t>
      </w:r>
    </w:p>
    <w:p>
      <w:pPr>
        <w:numPr>
          <w:ilvl w:val="0"/>
          <w:numId w:val="1024"/>
        </w:numPr>
        <w:pStyle w:val="Compact"/>
      </w:pPr>
      <w:r>
        <w:t xml:space="preserve">💡 判断：偏强但不追高；回踩11.94元至12.34元区间承接有效且传媒资金延续时，可低吸跟踪。</w:t>
      </w:r>
    </w:p>
    <w:p>
      <w:pPr>
        <w:pStyle w:val="Heading3"/>
      </w:pPr>
      <w:bookmarkStart w:id="48" w:name="工商银行601398"/>
      <w:r>
        <w:t xml:space="preserve">3️⃣ 工商银行（601398）</w:t>
      </w:r>
      <w:bookmarkEnd w:id="48"/>
    </w:p>
    <w:p>
      <w:pPr>
        <w:numPr>
          <w:ilvl w:val="0"/>
          <w:numId w:val="1025"/>
        </w:numPr>
        <w:pStyle w:val="Compact"/>
      </w:pPr>
      <w:r>
        <w:t xml:space="preserve">📉 华泰单源最新价7.39元、-1.60%，前收7.51元，未停牌；当日涨跌停参考价8.26元/6.76元。</w:t>
      </w:r>
    </w:p>
    <w:p>
      <w:pPr>
        <w:numPr>
          <w:ilvl w:val="0"/>
          <w:numId w:val="1025"/>
        </w:numPr>
        <w:pStyle w:val="Compact"/>
      </w:pPr>
      <w:r>
        <w:t xml:space="preserve">🧩 所属国有大行与高股息红利；在</w:t>
      </w:r>
      <w:r>
        <w:rPr>
          <w:rStyle w:val="VerbatimChar"/>
        </w:rPr>
        <w:t xml:space="preserve">derived.market_style=偏弱/防御</w:t>
      </w:r>
      <w:r>
        <w:t xml:space="preserve">环境中具备组合稳定属性，但采集JSON未提供银行板块资金榜。</w:t>
      </w:r>
    </w:p>
    <w:p>
      <w:pPr>
        <w:numPr>
          <w:ilvl w:val="0"/>
          <w:numId w:val="1025"/>
        </w:numPr>
        <w:pStyle w:val="Compact"/>
      </w:pPr>
      <w:r>
        <w:t xml:space="preserve">🔄 主线关系：与WAIC进攻线不共振，定位是防御底仓，不是高弹性主攻方向。</w:t>
      </w:r>
    </w:p>
    <w:p>
      <w:pPr>
        <w:numPr>
          <w:ilvl w:val="0"/>
          <w:numId w:val="1025"/>
        </w:numPr>
        <w:pStyle w:val="Compact"/>
      </w:pPr>
      <w:r>
        <w:t xml:space="preserve">💡 判断：继续观察、偏防御；若重新站回7.51元且强于上证指数，可稳健持有，不追高加仓。</w:t>
      </w:r>
    </w:p>
    <w:p>
      <w:r>
        <w:pict>
          <v:rect style="width:0;height:1.5pt" o:hralign="center" o:hrstd="t" o:hr="t"/>
        </w:pict>
      </w:r>
    </w:p>
    <w:p>
      <w:pPr>
        <w:pStyle w:val="Heading2"/>
      </w:pPr>
      <w:bookmarkStart w:id="49" w:name="今日操作策略"/>
      <w:r>
        <w:t xml:space="preserve">🎯 今日操作策略</w:t>
      </w:r>
      <w:bookmarkEnd w:id="49"/>
    </w:p>
    <w:p>
      <w:pPr>
        <w:numPr>
          <w:ilvl w:val="0"/>
          <w:numId w:val="1026"/>
        </w:numPr>
        <w:pStyle w:val="Compact"/>
      </w:pPr>
      <w:r>
        <w:t xml:space="preserve">🧭 市场预判：偏弱震荡、先看修复质量。昨日五项指数平均跌幅为2.53%，科创50-4.0221%，A50期指-0.27%；开盘不能把政策催化直接等同于反转。</w:t>
      </w:r>
    </w:p>
    <w:p>
      <w:pPr>
        <w:numPr>
          <w:ilvl w:val="0"/>
          <w:numId w:val="1026"/>
        </w:numPr>
        <w:pStyle w:val="Compact"/>
      </w:pPr>
      <w:r>
        <w:t xml:space="preserve">🔥 关注顺序：AI应用-计算机服务、影视传媒-数字内容、创新药/医疗服务的结构性防御；PCB仅观察资金承接，不追高硬件。</w:t>
      </w:r>
    </w:p>
    <w:p>
      <w:pPr>
        <w:numPr>
          <w:ilvl w:val="0"/>
          <w:numId w:val="1026"/>
        </w:numPr>
        <w:pStyle w:val="Compact"/>
      </w:pPr>
      <w:r>
        <w:t xml:space="preserve">🚫 回避方向：半导体设备/材料、存储封测、光模块和通信硬件的惯性补跌；ST及高换手无业绩题材；地缘催化后的油气高开兑现。</w:t>
      </w:r>
    </w:p>
    <w:p>
      <w:pPr>
        <w:numPr>
          <w:ilvl w:val="0"/>
          <w:numId w:val="1026"/>
        </w:numPr>
        <w:pStyle w:val="Compact"/>
      </w:pPr>
      <w:r>
        <w:t xml:space="preserve">💡 开盘验证：指数不再扩大跌幅、跌停风险收敛；计算机/传媒资金延续；核心股不高开低走。任一关键条件缺失，都应降低参与强度。</w:t>
      </w:r>
    </w:p>
    <w:p>
      <w:pPr>
        <w:pStyle w:val="Heading3"/>
      </w:pPr>
      <w:bookmarkStart w:id="50" w:name="仓位分层"/>
      <w:r>
        <w:t xml:space="preserve">💡 仓位分层</w:t>
      </w:r>
      <w:bookmarkEnd w:id="50"/>
    </w:p>
    <w:p>
      <w:pPr>
        <w:numPr>
          <w:ilvl w:val="0"/>
          <w:numId w:val="1027"/>
        </w:numPr>
        <w:pStyle w:val="Compact"/>
      </w:pPr>
      <w:r>
        <w:t xml:space="preserve">激进：最高40%，开盘先控制在20%-30%；仅在指数回稳、主线资金延续和核心股承接同时确认后提高至40%。</w:t>
      </w:r>
    </w:p>
    <w:p>
      <w:pPr>
        <w:numPr>
          <w:ilvl w:val="0"/>
          <w:numId w:val="1027"/>
        </w:numPr>
        <w:pStyle w:val="Compact"/>
      </w:pPr>
      <w:r>
        <w:t xml:space="preserve">稳健：25%，保留防御底仓，新增仓位只做分歧低吸，不做一致性追涨。</w:t>
      </w:r>
    </w:p>
    <w:p>
      <w:pPr>
        <w:numPr>
          <w:ilvl w:val="0"/>
          <w:numId w:val="1027"/>
        </w:numPr>
        <w:pStyle w:val="Compact"/>
      </w:pPr>
      <w:r>
        <w:t xml:space="preserve">保守：10%，等待上证指数收复开盘价、跌停风险下降及资金流连续改善后再行动。</w:t>
      </w:r>
    </w:p>
    <w:p>
      <w:pPr>
        <w:numPr>
          <w:ilvl w:val="0"/>
          <w:numId w:val="1027"/>
        </w:numPr>
        <w:pStyle w:val="Compact"/>
      </w:pPr>
      <w:r>
        <w:t xml:space="preserve">⚠️ 仓位采用</w:t>
      </w:r>
      <w:r>
        <w:rPr>
          <w:rStyle w:val="VerbatimChar"/>
        </w:rPr>
        <w:t xml:space="preserve">derived.position_model</w:t>
      </w:r>
      <w:r>
        <w:t xml:space="preserve">；成交额比较口径为</w:t>
      </w:r>
      <w:r>
        <w:rPr>
          <w:rStyle w:val="VerbatimChar"/>
        </w:rPr>
        <w:t xml:space="preserve">unverified</w:t>
      </w:r>
      <w:r>
        <w:t xml:space="preserve">，不使用成交额变化百分比调仓。</w:t>
      </w:r>
    </w:p>
    <w:p>
      <w:pPr>
        <w:pStyle w:val="Heading3"/>
      </w:pPr>
      <w:bookmarkStart w:id="51" w:name="主要风险"/>
      <w:r>
        <w:t xml:space="preserve">⚠️ 主要风险</w:t>
      </w:r>
      <w:bookmarkEnd w:id="51"/>
    </w:p>
    <w:p>
      <w:pPr>
        <w:numPr>
          <w:ilvl w:val="0"/>
          <w:numId w:val="1028"/>
        </w:numPr>
        <w:pStyle w:val="Compact"/>
      </w:pPr>
      <w:r>
        <w:t xml:space="preserve">电子净流出369.75亿元、半导体净流出265.37亿元，若硬件抛压继续扩散，WAIC题材也可能被指数风险压制。</w:t>
      </w:r>
    </w:p>
    <w:p>
      <w:pPr>
        <w:numPr>
          <w:ilvl w:val="0"/>
          <w:numId w:val="1028"/>
        </w:numPr>
        <w:pStyle w:val="Compact"/>
      </w:pPr>
      <w:r>
        <w:t xml:space="preserve">今日为周五，周末事件风险可能降低追涨意愿；美伊冲突仍可能推升油价和全球风险偏好波动。</w:t>
      </w:r>
    </w:p>
    <w:p>
      <w:pPr>
        <w:numPr>
          <w:ilvl w:val="0"/>
          <w:numId w:val="1028"/>
        </w:numPr>
        <w:pStyle w:val="Compact"/>
      </w:pPr>
      <w:r>
        <w:rPr>
          <w:rStyle w:val="VerbatimChar"/>
        </w:rPr>
        <w:t xml:space="preserve">limit_stocks</w:t>
      </w:r>
      <w:r>
        <w:t xml:space="preserve">个股样本缺失，无法确认涨停梯队和跌停扩散结构，不以连板高度构建交易计划。</w:t>
      </w:r>
    </w:p>
    <w:p>
      <w:pPr>
        <w:numPr>
          <w:ilvl w:val="0"/>
          <w:numId w:val="1028"/>
        </w:numPr>
        <w:pStyle w:val="Compact"/>
      </w:pPr>
      <w:r>
        <w:t xml:space="preserve">华泰市场洞察与选股结果只作补充，结构化行情与资金流事实以新浪、东方财富、腾讯、同花顺采集为准。</w:t>
      </w:r>
    </w:p>
    <w:p>
      <w:r>
        <w:pict>
          <v:rect style="width:0;height:1.5pt" o:hralign="center" o:hrstd="t" o:hr="t"/>
        </w:pict>
      </w:r>
    </w:p>
    <w:p>
      <w:pPr>
        <w:pStyle w:val="Heading2"/>
      </w:pPr>
      <w:bookmarkStart w:id="52" w:name="重点投资方向"/>
      <w:r>
        <w:t xml:space="preserve">🎯 重点投资方向</w:t>
      </w:r>
      <w:bookmarkEnd w:id="52"/>
    </w:p>
    <w:p>
      <w:pPr>
        <w:pStyle w:val="Heading3"/>
      </w:pPr>
      <w:bookmarkStart w:id="53" w:name="方向一ai应用-计算机服务软件优先级高条件参与"/>
      <w:r>
        <w:t xml:space="preserve">方向一：AI应用-计算机服务/软件（优先级：高，条件参与）</w:t>
      </w:r>
      <w:bookmarkEnd w:id="53"/>
    </w:p>
    <w:p>
      <w:pPr>
        <w:numPr>
          <w:ilvl w:val="0"/>
          <w:numId w:val="1029"/>
        </w:numPr>
        <w:pStyle w:val="Compact"/>
      </w:pPr>
      <w:r>
        <w:t xml:space="preserve">📌 证据链：WAIC今日开幕，汇集1100多家企业、300多款全球首发产品和158场论坛；计算机上涨0.63%、主力净流入20.85亿元、成交1422.13亿元；IT服务Ⅱ/Ⅲ均上涨0.95%、净流入14.51亿元；软件开发净流入7.28亿元；紫光股份+8.61%、主力净流入14.00亿元，拓维信息+6.47%、净流入5.51亿元，云赛智联涨停、净流入3.06亿元。</w:t>
      </w:r>
    </w:p>
    <w:p>
      <w:pPr>
        <w:numPr>
          <w:ilvl w:val="0"/>
          <w:numId w:val="1029"/>
        </w:numPr>
        <w:pStyle w:val="Compact"/>
      </w:pPr>
      <w:r>
        <w:t xml:space="preserve">🔥 核心标的：紫光股份（资金净流入榜首、成交171.17亿元）；拓维信息（计算机服务高辨识度、净流入5.51亿元）；云赛智联（涨停且主力净流入占比50.08%）；风语筑（自选股，AI应用与数字展示映射、+3.35%）。</w:t>
      </w:r>
    </w:p>
    <w:p>
      <w:pPr>
        <w:numPr>
          <w:ilvl w:val="0"/>
          <w:numId w:val="1029"/>
        </w:numPr>
        <w:pStyle w:val="Compact"/>
      </w:pPr>
      <w:r>
        <w:t xml:space="preserve">💡 参与策略：激进只做核心股分歧后的回封或重新站上开盘价；稳健等待计算机和软件同时保持净流入；保守等待板块收盘确认，不参与早盘一致性高开。</w:t>
      </w:r>
    </w:p>
    <w:p>
      <w:pPr>
        <w:numPr>
          <w:ilvl w:val="0"/>
          <w:numId w:val="1029"/>
        </w:numPr>
        <w:pStyle w:val="Compact"/>
      </w:pPr>
      <w:r>
        <w:t xml:space="preserve">✅ 触发条件：计算机/软件板块放量强于指数，紫光股份、拓维信息或云赛智联至少两只保持强承接，风语筑守住11.94元并重新走强。</w:t>
      </w:r>
    </w:p>
    <w:p>
      <w:pPr>
        <w:numPr>
          <w:ilvl w:val="0"/>
          <w:numId w:val="1029"/>
        </w:numPr>
        <w:pStyle w:val="Compact"/>
      </w:pPr>
      <w:r>
        <w:t xml:space="preserve">🚫 失效条件：计算机主力净流入转为明显净流出，核心股高开低走并跌破开盘价，或电子硬件跌停风险向应用端扩散。</w:t>
      </w:r>
    </w:p>
    <w:p>
      <w:pPr>
        <w:numPr>
          <w:ilvl w:val="0"/>
          <w:numId w:val="1029"/>
        </w:numPr>
        <w:pStyle w:val="Compact"/>
      </w:pPr>
      <w:r>
        <w:t xml:space="preserve">⚠️ 风险：大会利好兑现、题材拥挤、监管与商业化不及预期、科技板块系统性补跌。</w:t>
      </w:r>
    </w:p>
    <w:p>
      <w:pPr>
        <w:pStyle w:val="Heading3"/>
      </w:pPr>
      <w:bookmarkStart w:id="54" w:name="方向二影视传媒-数字内容营销优先级中高分歧参与"/>
      <w:r>
        <w:t xml:space="preserve">方向二：影视传媒-数字内容/营销（优先级：中高，分歧参与）</w:t>
      </w:r>
      <w:bookmarkEnd w:id="54"/>
    </w:p>
    <w:p>
      <w:pPr>
        <w:numPr>
          <w:ilvl w:val="0"/>
          <w:numId w:val="1030"/>
        </w:numPr>
        <w:pStyle w:val="Compact"/>
      </w:pPr>
      <w:r>
        <w:t xml:space="preserve">📌 证据链：院线上涨6.42%、净流入2.47亿元，影视院线上涨5.54%、净流入6.32亿元，传媒上涨2.26%、净流入8.30亿元；广告营销上涨2.88%、净流入6.28亿元；儒意电影+10.02%、智度股份+10.09%，风语筑+3.35%。</w:t>
      </w:r>
    </w:p>
    <w:p>
      <w:pPr>
        <w:numPr>
          <w:ilvl w:val="0"/>
          <w:numId w:val="1030"/>
        </w:numPr>
        <w:pStyle w:val="Compact"/>
      </w:pPr>
      <w:r>
        <w:t xml:space="preserve">🔥 核心标的：儒意电影（影视院线涨停辨识度）；智度股份（广告营销领涨）；风语筑（实盘与自选股重合，数字文化+AI应用）；蓝色光标（+4.34%、主力净流入3.60亿元）。</w:t>
      </w:r>
    </w:p>
    <w:p>
      <w:pPr>
        <w:numPr>
          <w:ilvl w:val="0"/>
          <w:numId w:val="1030"/>
        </w:numPr>
        <w:pStyle w:val="Compact"/>
      </w:pPr>
      <w:r>
        <w:t xml:space="preserve">💡 参与策略：激进观察龙头分歧承接；稳健优先风语筑等有产业映射且未加速的标的；保守等待传媒净流入延续后再参与。</w:t>
      </w:r>
    </w:p>
    <w:p>
      <w:pPr>
        <w:numPr>
          <w:ilvl w:val="0"/>
          <w:numId w:val="1030"/>
        </w:numPr>
        <w:pStyle w:val="Compact"/>
      </w:pPr>
      <w:r>
        <w:t xml:space="preserve">✅ 触发条件：传媒与影视至少两个分支继续上涨，儒意电影或智度股份不炸板，风语筑回踩11.94元上方企稳并重新站上12.34元。</w:t>
      </w:r>
    </w:p>
    <w:p>
      <w:pPr>
        <w:numPr>
          <w:ilvl w:val="0"/>
          <w:numId w:val="1030"/>
        </w:numPr>
        <w:pStyle w:val="Compact"/>
      </w:pPr>
      <w:r>
        <w:t xml:space="preserve">🚫 失效条件：龙头炸板后不能回封、传媒主力转净流出、风语筑跌破11.94元后30分钟不能收回。</w:t>
      </w:r>
    </w:p>
    <w:p>
      <w:pPr>
        <w:numPr>
          <w:ilvl w:val="0"/>
          <w:numId w:val="1030"/>
        </w:numPr>
        <w:pStyle w:val="Compact"/>
      </w:pPr>
      <w:r>
        <w:t xml:space="preserve">⚠️ 风险：暑期档或大会催化兑现、题材快速轮动、个股高开低走、华泰行情为单源。</w:t>
      </w:r>
    </w:p>
    <w:p>
      <w:pPr>
        <w:pStyle w:val="Heading3"/>
      </w:pPr>
      <w:bookmarkStart w:id="55" w:name="方向三创新药-医疗服务优先级中低吸观察"/>
      <w:r>
        <w:t xml:space="preserve">方向三：创新药-医疗服务（优先级：中，低吸观察）</w:t>
      </w:r>
      <w:bookmarkEnd w:id="55"/>
    </w:p>
    <w:p>
      <w:pPr>
        <w:numPr>
          <w:ilvl w:val="0"/>
          <w:numId w:val="1031"/>
        </w:numPr>
        <w:pStyle w:val="Compact"/>
      </w:pPr>
      <w:r>
        <w:t xml:space="preserve">📌 证据链：医药生物上涨1.15%、成交2210.51亿元，但主力净流出20.04亿元，内部明显分化；医院上涨3.54%、净流入4.00亿元；其他医疗服务上涨4.43%、净流入8817.68万元；博瑞医药+19.92%、净流入3.33亿元、成交19.46亿元，创新医疗涨停、净流入2.77亿元，常山药业+10.45%、净流入2.75亿元。</w:t>
      </w:r>
    </w:p>
    <w:p>
      <w:pPr>
        <w:numPr>
          <w:ilvl w:val="0"/>
          <w:numId w:val="1031"/>
        </w:numPr>
        <w:pStyle w:val="Compact"/>
      </w:pPr>
      <w:r>
        <w:t xml:space="preserve">🔥 核心标的：博瑞医药（涨幅、资金与成交共振）；创新医疗（医院方向涨停辨识度）；常山药业（高涨幅与资金流入）；片仔癀（涨停、净流入4.06亿元，防御属性突出）。</w:t>
      </w:r>
    </w:p>
    <w:p>
      <w:pPr>
        <w:numPr>
          <w:ilvl w:val="0"/>
          <w:numId w:val="1031"/>
        </w:numPr>
        <w:pStyle w:val="Compact"/>
      </w:pPr>
      <w:r>
        <w:t xml:space="preserve">💡 参与策略：激进只做首次分歧低吸；稳健等待医药生物总资金由净流出改善；保守不追涨停和20%涨幅标的，只观察回踩均线后的承接。</w:t>
      </w:r>
    </w:p>
    <w:p>
      <w:pPr>
        <w:numPr>
          <w:ilvl w:val="0"/>
          <w:numId w:val="1031"/>
        </w:numPr>
        <w:pStyle w:val="Compact"/>
      </w:pPr>
      <w:r>
        <w:t xml:space="preserve">✅ 触发条件：医院/创新药分支持续放量，核心股不出现高开低走，医药生物整体净流出明显收窄或转正。</w:t>
      </w:r>
    </w:p>
    <w:p>
      <w:pPr>
        <w:numPr>
          <w:ilvl w:val="0"/>
          <w:numId w:val="1031"/>
        </w:numPr>
        <w:pStyle w:val="Compact"/>
      </w:pPr>
      <w:r>
        <w:t xml:space="preserve">🚫 失效条件：博瑞医药、创新医疗等核心股跌破开盘价且不能收回，或医药生物净流出扩大。</w:t>
      </w:r>
    </w:p>
    <w:p>
      <w:pPr>
        <w:numPr>
          <w:ilvl w:val="0"/>
          <w:numId w:val="1031"/>
        </w:numPr>
        <w:pStyle w:val="Compact"/>
      </w:pPr>
      <w:r>
        <w:t xml:space="preserve">⚠️ 风险：内部资金分化、创新药临床与监管风险、短线涨幅过大后的获利兑现、医药总板块仍为净流出。</w:t>
      </w:r>
    </w:p>
    <w:p>
      <w:r>
        <w:pict>
          <v:rect style="width:0;height:1.5pt" o:hralign="center" o:hrstd="t" o:hr="t"/>
        </w:pict>
      </w:r>
    </w:p>
    <w:p>
      <w:pPr>
        <w:pStyle w:val="Heading2"/>
      </w:pPr>
      <w:bookmarkStart w:id="56" w:name="用户实盘持仓策略"/>
      <w:r>
        <w:t xml:space="preserve">💼 用户实盘持仓策略</w:t>
      </w:r>
      <w:bookmarkEnd w:id="56"/>
    </w:p>
    <w:p>
      <w:pPr>
        <w:pStyle w:val="BlockText"/>
      </w:pPr>
      <w:r>
        <w:t xml:space="preserve">行情口径：弘元绿能、风语筑、工商银行使用华泰单源补充行情；农业银行本轮无可确认最新价格。三只可用行情未进入</w:t>
      </w:r>
      <w:r>
        <w:rPr>
          <w:rStyle w:val="VerbatimChar"/>
        </w:rPr>
        <w:t xml:space="preserve">stock_quote_cross_checks</w:t>
      </w:r>
      <w:r>
        <w:t xml:space="preserve">样本，执行前必须以券商实时行情复核。持仓盈亏按</w:t>
      </w:r>
      <w:r>
        <w:t xml:space="preserve">“</w:t>
      </w:r>
      <w:r>
        <w:t xml:space="preserve">最新参考价相对成本价</w:t>
      </w:r>
      <w:r>
        <w:t xml:space="preserve">”</w:t>
      </w:r>
      <w:r>
        <w:t xml:space="preserve">计算，未含佣金、税费和分红。</w:t>
      </w:r>
    </w:p>
    <w:p>
      <w:pPr>
        <w:pStyle w:val="Heading3"/>
      </w:pPr>
      <w:bookmarkStart w:id="57" w:name="弘元绿能603185300股成本26.6669元"/>
      <w:r>
        <w:t xml:space="preserve">弘元绿能（603185）｜300股｜成本26.6669元</w:t>
      </w:r>
      <w:bookmarkEnd w:id="57"/>
    </w:p>
    <w:p>
      <w:pPr>
        <w:numPr>
          <w:ilvl w:val="0"/>
          <w:numId w:val="1032"/>
        </w:numPr>
        <w:pStyle w:val="Compact"/>
      </w:pPr>
      <w:r>
        <w:t xml:space="preserve">📉 最新参考价13.85元、-0.93%，参考浮亏48.06%，浮动亏损3845.07元；前收13.98元，昨日电力设备净流出67.75亿元，量价趋势缺少多源确认。</w:t>
      </w:r>
    </w:p>
    <w:p>
      <w:pPr>
        <w:numPr>
          <w:ilvl w:val="0"/>
          <w:numId w:val="1032"/>
        </w:numPr>
        <w:pStyle w:val="Compact"/>
      </w:pPr>
      <w:r>
        <w:t xml:space="preserve">💡 今日动作：减仓观察。深套不是加仓理由；若反弹无法收复13.98元且光伏/电力设备无资金回流，优先借反弹降低仓位。</w:t>
      </w:r>
    </w:p>
    <w:p>
      <w:pPr>
        <w:numPr>
          <w:ilvl w:val="0"/>
          <w:numId w:val="1032"/>
        </w:numPr>
        <w:pStyle w:val="Compact"/>
      </w:pPr>
      <w:r>
        <w:t xml:space="preserve">🚫 减仓或离场触发：跌破13.85元后30分钟不能收回；或冲高后跌破开盘价且板块继续净流出。若向12.58元跌停参考价靠近，执行风险控制，不等待回本。</w:t>
      </w:r>
    </w:p>
    <w:p>
      <w:pPr>
        <w:numPr>
          <w:ilvl w:val="0"/>
          <w:numId w:val="1032"/>
        </w:numPr>
        <w:pStyle w:val="Compact"/>
      </w:pPr>
      <w:r>
        <w:t xml:space="preserve">✅ 条件加仓：仅当光伏或电力设备主力转净流入、个股放量站稳13.98元并回踩不破，才允许小仓试错；不得无条件摊薄成本。</w:t>
      </w:r>
    </w:p>
    <w:p>
      <w:pPr>
        <w:numPr>
          <w:ilvl w:val="0"/>
          <w:numId w:val="1032"/>
        </w:numPr>
        <w:pStyle w:val="Compact"/>
      </w:pPr>
      <w:r>
        <w:t xml:space="preserve">⚠️ 失效与风险：继续弱于指数、再创新低、板块资金未转正，则修复逻辑失效；高成本与弱行业环境会放大资金占用风险。</w:t>
      </w:r>
    </w:p>
    <w:p>
      <w:pPr>
        <w:pStyle w:val="Heading3"/>
      </w:pPr>
      <w:bookmarkStart w:id="58" w:name="风语筑603466700股成本13.2159元"/>
      <w:r>
        <w:t xml:space="preserve">风语筑（603466）｜700股｜成本13.2159元</w:t>
      </w:r>
      <w:bookmarkEnd w:id="58"/>
    </w:p>
    <w:p>
      <w:pPr>
        <w:numPr>
          <w:ilvl w:val="0"/>
          <w:numId w:val="1033"/>
        </w:numPr>
        <w:pStyle w:val="Compact"/>
      </w:pPr>
      <w:r>
        <w:t xml:space="preserve">📉 最新参考价12.34元、+3.35%，参考浮亏6.63%，浮动亏损613.13元；前收11.94元，与传媒、数字内容和WAIC事件共振，但行情为华泰单源。</w:t>
      </w:r>
    </w:p>
    <w:p>
      <w:pPr>
        <w:numPr>
          <w:ilvl w:val="0"/>
          <w:numId w:val="1033"/>
        </w:numPr>
        <w:pStyle w:val="Compact"/>
      </w:pPr>
      <w:r>
        <w:t xml:space="preserve">💡 今日动作：持有观察，冲高转弱时条件减仓；不因接近成本价机械持有，也不在接近13.13元涨停参考价时追补。</w:t>
      </w:r>
    </w:p>
    <w:p>
      <w:pPr>
        <w:numPr>
          <w:ilvl w:val="0"/>
          <w:numId w:val="1033"/>
        </w:numPr>
        <w:pStyle w:val="Compact"/>
      </w:pPr>
      <w:r>
        <w:t xml:space="preserve">🚫 减仓或离场触发：跌破11.94元后30分钟不能收回；或冲高后跌破开盘价，传媒/广告营销主力同步转流出。</w:t>
      </w:r>
    </w:p>
    <w:p>
      <w:pPr>
        <w:numPr>
          <w:ilvl w:val="0"/>
          <w:numId w:val="1033"/>
        </w:numPr>
        <w:pStyle w:val="Compact"/>
      </w:pPr>
      <w:r>
        <w:t xml:space="preserve">✅ 条件加仓：回踩11.94元至12.34元区间承接有效，随后放量重新站上12.34元，且传媒、AI应用出现多股联动时，才可小幅增加。</w:t>
      </w:r>
    </w:p>
    <w:p>
      <w:pPr>
        <w:numPr>
          <w:ilvl w:val="0"/>
          <w:numId w:val="1033"/>
        </w:numPr>
        <w:pStyle w:val="Compact"/>
      </w:pPr>
      <w:r>
        <w:t xml:space="preserve">⚠️ 失效与风险：WAIC利好兑现、龙头炸板、传媒资金转流出或单票冲高回落，会使偏强逻辑失效。</w:t>
      </w:r>
    </w:p>
    <w:p>
      <w:pPr>
        <w:pStyle w:val="Heading3"/>
      </w:pPr>
      <w:bookmarkStart w:id="59" w:name="工商银行6013981900股成本7.0601元"/>
      <w:r>
        <w:t xml:space="preserve">工商银行（601398）｜1900股｜成本7.0601元</w:t>
      </w:r>
      <w:bookmarkEnd w:id="59"/>
    </w:p>
    <w:p>
      <w:pPr>
        <w:numPr>
          <w:ilvl w:val="0"/>
          <w:numId w:val="1034"/>
        </w:numPr>
        <w:pStyle w:val="Compact"/>
      </w:pPr>
      <w:r>
        <w:t xml:space="preserve">📈 最新参考价7.39元、-1.60%，参考浮盈4.67%，浮动盈利626.81元；前收7.51元，仍是组合中可确认盈利且防御属性较强的持仓。</w:t>
      </w:r>
    </w:p>
    <w:p>
      <w:pPr>
        <w:numPr>
          <w:ilvl w:val="0"/>
          <w:numId w:val="1034"/>
        </w:numPr>
        <w:pStyle w:val="Compact"/>
      </w:pPr>
      <w:r>
        <w:t xml:space="preserve">💡 今日动作：稳健持有、暂不加仓；用作红利防御底仓，但跌破承接位时不因盈利而忽视风险。</w:t>
      </w:r>
    </w:p>
    <w:p>
      <w:pPr>
        <w:numPr>
          <w:ilvl w:val="0"/>
          <w:numId w:val="1034"/>
        </w:numPr>
        <w:pStyle w:val="Compact"/>
      </w:pPr>
      <w:r>
        <w:t xml:space="preserve">🚫 减仓或离场触发：不能收复7.51元且继续弱于上证指数；或跌破7.39元后30分钟不能收回，并伴随国有大行同步转弱。</w:t>
      </w:r>
    </w:p>
    <w:p>
      <w:pPr>
        <w:numPr>
          <w:ilvl w:val="0"/>
          <w:numId w:val="1034"/>
        </w:numPr>
        <w:pStyle w:val="Compact"/>
      </w:pPr>
      <w:r>
        <w:t xml:space="preserve">✅ 条件加仓：重新站稳7.51元、回踩承接有效，且国有大行多数强于指数、银行板块未出现明显净流出时，才可小幅增加。</w:t>
      </w:r>
    </w:p>
    <w:p>
      <w:pPr>
        <w:numPr>
          <w:ilvl w:val="0"/>
          <w:numId w:val="1034"/>
        </w:numPr>
        <w:pStyle w:val="Compact"/>
      </w:pPr>
      <w:r>
        <w:t xml:space="preserve">⚠️ 失效与风险：红利拥挤补跌、净息差压力、利率预期变化或指数系统性下行会削弱防御属性；行情仅为华泰单源。</w:t>
      </w:r>
    </w:p>
    <w:p>
      <w:pPr>
        <w:pStyle w:val="Heading3"/>
      </w:pPr>
      <w:bookmarkStart w:id="60" w:name="农业银行6012885300股成本6.4244元"/>
      <w:r>
        <w:t xml:space="preserve">农业银行（601288）｜5300股｜成本6.4244元</w:t>
      </w:r>
      <w:bookmarkEnd w:id="60"/>
    </w:p>
    <w:p>
      <w:pPr>
        <w:numPr>
          <w:ilvl w:val="0"/>
          <w:numId w:val="1035"/>
        </w:numPr>
        <w:pStyle w:val="Compact"/>
      </w:pPr>
      <w:r>
        <w:t xml:space="preserve">⚠️ 本轮无可确认最新价，当前盈亏金额、盈亏幅度、趋势量价、支撑与阻力均未核验；不得沿用历史价格或按成本价推测。</w:t>
      </w:r>
    </w:p>
    <w:p>
      <w:pPr>
        <w:numPr>
          <w:ilvl w:val="0"/>
          <w:numId w:val="1035"/>
        </w:numPr>
        <w:pStyle w:val="Compact"/>
      </w:pPr>
      <w:r>
        <w:t xml:space="preserve">💡 今日动作：持有观察，执行前先读取券商实时价；不能仅因高于或低于6.4244元成本决定加减仓。</w:t>
      </w:r>
    </w:p>
    <w:p>
      <w:pPr>
        <w:numPr>
          <w:ilvl w:val="0"/>
          <w:numId w:val="1035"/>
        </w:numPr>
        <w:pStyle w:val="Compact"/>
      </w:pPr>
      <w:r>
        <w:t xml:space="preserve">🚫 减仓或离场触发：实时价跌破当日开盘价后30分钟不能收回，且工商银行及国有大行同步弱于上证；若出现放量破位，优先降低仓位。</w:t>
      </w:r>
    </w:p>
    <w:p>
      <w:pPr>
        <w:numPr>
          <w:ilvl w:val="0"/>
          <w:numId w:val="1035"/>
        </w:numPr>
        <w:pStyle w:val="Compact"/>
      </w:pPr>
      <w:r>
        <w:t xml:space="preserve">✅ 条件加仓：实时价站稳当日开盘价与前收盘价、强于上证指数，且国有大行多数上涨、银行资金未明显流出时，才可小仓增加。</w:t>
      </w:r>
    </w:p>
    <w:p>
      <w:pPr>
        <w:numPr>
          <w:ilvl w:val="0"/>
          <w:numId w:val="1035"/>
        </w:numPr>
        <w:pStyle w:val="Compact"/>
      </w:pPr>
      <w:r>
        <w:t xml:space="preserve">⚠️ 失效与风险：价格源缺失使固定价位策略无效；红利拥挤、净息差压力和系统性回撤是主要风险。</w:t>
      </w:r>
    </w:p>
    <w:p>
      <w:pPr>
        <w:pStyle w:val="Heading3"/>
      </w:pPr>
      <w:bookmarkStart w:id="61" w:name="组合优先级"/>
      <w:r>
        <w:t xml:space="preserve">📌 组合优先级</w:t>
      </w:r>
      <w:bookmarkEnd w:id="61"/>
    </w:p>
    <w:p>
      <w:pPr>
        <w:numPr>
          <w:ilvl w:val="0"/>
          <w:numId w:val="1036"/>
        </w:numPr>
        <w:pStyle w:val="Compact"/>
      </w:pPr>
      <w:r>
        <w:t xml:space="preserve">⚠️ 最该减仓观察：弘元绿能，参考浮亏48.06%，行业资金环境偏弱；反弹不能收复13.98元时优先降低仓位。</w:t>
      </w:r>
    </w:p>
    <w:p>
      <w:pPr>
        <w:numPr>
          <w:ilvl w:val="0"/>
          <w:numId w:val="1036"/>
        </w:numPr>
        <w:pStyle w:val="Compact"/>
      </w:pPr>
      <w:r>
        <w:t xml:space="preserve">🛡️ 最稳健持有：工商银行，参考浮盈4.67%，以7.39元和7.51元作为盘中承接与修复观察位。</w:t>
      </w:r>
    </w:p>
    <w:p>
      <w:pPr>
        <w:numPr>
          <w:ilvl w:val="0"/>
          <w:numId w:val="1036"/>
        </w:numPr>
        <w:pStyle w:val="Compact"/>
      </w:pPr>
      <w:r>
        <w:t xml:space="preserve">✅ 满足条件才可加仓：风语筑需回踩承接后重新站稳12.34元并获得传媒/AI应用共振；工商银行需收复7.51元；农业银行需先补齐实时行情；弘元绿能在板块资金转正前不加仓。</w:t>
      </w:r>
    </w:p>
    <w:p>
      <w:r>
        <w:pict>
          <v:rect style="width:0;height:1.5pt" o:hralign="center" o:hrstd="t" o:hr="t"/>
        </w:pict>
      </w:r>
    </w:p>
    <w:p>
      <w:pPr>
        <w:pStyle w:val="BlockText"/>
      </w:pPr>
      <w:r>
        <w:t xml:space="preserve">📊 生成时间：2026-07-17 08:30（北京时间，Asia/Shanghai）</w:t>
      </w:r>
      <w:r>
        <w:t xml:space="preserve"> </w:t>
      </w:r>
      <w:r>
        <w:t xml:space="preserve">🔮 by：先知 v1.0.3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2026-07-17T00:38:02Z</dcterms:created>
  <dcterms:modified xsi:type="dcterms:W3CDTF">2026-07-17T00:38:02Z</dcterms:modified>
</cp:coreProperties>
</file>

<file path=docProps/custom.xml><?xml version="1.0" encoding="utf-8"?>
<Properties xmlns="http://schemas.openxmlformats.org/officeDocument/2006/custom-properties" xmlns:vt="http://schemas.openxmlformats.org/officeDocument/2006/docPropsVTypes"/>
</file>