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全天复盘-2026-07-15周三"/>
      <w:r>
        <w:t xml:space="preserve">🕑 全天复盘 | 2026-07-15（周三）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全天行情概览"/>
      <w:r>
        <w:t xml:space="preserve">📊 全天行情概览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📉 上证指数收3955.5781点、-0.2911%；深证成指收14779.396点、-0.9747%；创业板指收3804.704点、-1.2057%。新浪主源与东方财富、腾讯交叉验证一致。</w:t>
      </w:r>
    </w:p>
    <w:p>
      <w:pPr>
        <w:numPr>
          <w:ilvl w:val="0"/>
          <w:numId w:val="1001"/>
        </w:numPr>
        <w:pStyle w:val="Compact"/>
      </w:pPr>
      <w:r>
        <w:t xml:space="preserve">📉 科创50收1924.2735点、-4.2521%，显著弱于沪深300的4786.7828点、-0.2026%；高位科技权重继续承压，指数分化明显。</w:t>
      </w:r>
    </w:p>
    <w:p>
      <w:pPr>
        <w:numPr>
          <w:ilvl w:val="0"/>
          <w:numId w:val="1001"/>
        </w:numPr>
        <w:pStyle w:val="Compact"/>
      </w:pPr>
      <w:r>
        <w:t xml:space="preserve">💰 同花顺完整单源确认全市场成交额25873.89亿元；昨日原始成交额27194.75亿元、原始差额-1320.85亿元。因</w:t>
      </w:r>
      <w:r>
        <w:rPr>
          <w:rStyle w:val="VerbatimChar"/>
        </w:rPr>
        <w:t xml:space="preserve">turnover_comparison_scope=unverified</w:t>
      </w:r>
      <w:r>
        <w:t xml:space="preserve">，不使用变化百分比，也不把差额作为同比例仓位证据。</w:t>
      </w:r>
    </w:p>
    <w:p>
      <w:pPr>
        <w:numPr>
          <w:ilvl w:val="0"/>
          <w:numId w:val="1001"/>
        </w:numPr>
        <w:pStyle w:val="Compact"/>
      </w:pPr>
      <w:r>
        <w:t xml:space="preserve">📈 同花顺完整单源显示上涨3351家、下跌2098家、平盘76家、停牌3家，涨停74家、跌停29家；上涨家数仍占优，但指数普跌，赚钱效应与权重表现背离。</w:t>
      </w:r>
    </w:p>
    <w:p>
      <w:pPr>
        <w:numPr>
          <w:ilvl w:val="0"/>
          <w:numId w:val="1001"/>
        </w:numPr>
        <w:pStyle w:val="Compact"/>
      </w:pPr>
      <w:r>
        <w:t xml:space="preserve">⚠️ 华泰市场洞察文本称跌停33家，与同花顺结构化数据29家存在差异；本报告采用同花顺结构化单源29家并明确保留冲突，不静默覆盖。</w:t>
      </w:r>
    </w:p>
    <w:p>
      <w:pPr>
        <w:numPr>
          <w:ilvl w:val="0"/>
          <w:numId w:val="1001"/>
        </w:numPr>
        <w:pStyle w:val="Compact"/>
      </w:pPr>
      <w:r>
        <w:t xml:space="preserve">🌐 沪深300ETF净申购方向未出现在采集JSON中，以沪深300ETF净申购作为外资方向代理指标时，本日结论只能标记</w:t>
      </w:r>
      <w:r>
        <w:t xml:space="preserve">“</w:t>
      </w:r>
      <w:r>
        <w:t xml:space="preserve">未核验</w:t>
      </w:r>
      <w:r>
        <w:t xml:space="preserve">”</w:t>
      </w:r>
      <w:r>
        <w:t xml:space="preserve">。</w:t>
      </w:r>
    </w:p>
    <w:p>
      <w:pPr>
        <w:numPr>
          <w:ilvl w:val="0"/>
          <w:numId w:val="1001"/>
        </w:numPr>
        <w:pStyle w:val="Compact"/>
      </w:pPr>
      <w:r>
        <w:t xml:space="preserve">🎭 派生市场风格为</w:t>
      </w:r>
      <w:r>
        <w:t xml:space="preserve">“</w:t>
      </w:r>
      <w:r>
        <w:t xml:space="preserve">震荡/均衡</w:t>
      </w:r>
      <w:r>
        <w:t xml:space="preserve">”</w:t>
      </w:r>
      <w:r>
        <w:t xml:space="preserve">，仓位模型为激进60%、稳健45%、保守30%，最高仓位60%。</w:t>
      </w:r>
    </w:p>
    <w:p>
      <w:pPr>
        <w:pStyle w:val="BlockText"/>
      </w:pPr>
      <w:r>
        <w:t xml:space="preserve">一句话盘面：📉 指数午后继续走弱、科创50重挫，但3351家收涨，市场完成从高位科技向医药、低位消费与防御方向的结构性切换，仍不是无差别退潮。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上午-vs-下午对比"/>
      <w:r>
        <w:t xml:space="preserve">⏰ 上午 vs 下午对比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📉 上午至收盘，上证涨跌幅由-0.0812%降至-0.2911%，深证由-0.3795%降至-0.9747%，创业板由-0.3610%降至-1.2057%，沪深300由+0.0440%降至-0.2026%；午后风险偏好进一步回落。</w:t>
      </w:r>
    </w:p>
    <w:p>
      <w:pPr>
        <w:numPr>
          <w:ilvl w:val="0"/>
          <w:numId w:val="1002"/>
        </w:numPr>
        <w:pStyle w:val="Compact"/>
      </w:pPr>
      <w:r>
        <w:t xml:space="preserve">📉 科创50由-3.6658%扩大至-4.2521%，午后再弱0.5863个百分点；半导体、存储、封测的抛压没有得到有效修复。</w:t>
      </w:r>
    </w:p>
    <w:p>
      <w:pPr>
        <w:numPr>
          <w:ilvl w:val="0"/>
          <w:numId w:val="1002"/>
        </w:numPr>
        <w:pStyle w:val="Compact"/>
      </w:pPr>
      <w:r>
        <w:t xml:space="preserve">📊 上涨家数由3682家降至3351家，下跌家数由1772家升至2098家；涨停由64家增至74家，但跌停也由16家增至29家，说明强势股扩散与弱势股风险同步增加，分歧加大。</w:t>
      </w:r>
    </w:p>
    <w:p>
      <w:pPr>
        <w:numPr>
          <w:ilvl w:val="0"/>
          <w:numId w:val="1002"/>
        </w:numPr>
        <w:pStyle w:val="Compact"/>
      </w:pPr>
      <w:r>
        <w:t xml:space="preserve">💰 上午累计成交额17264.28亿元，收盘累计25873.89亿元，午后新增8609.61亿元。该差值为同一数据源当日累计值之差，可用于描述午后成交，但不用于昨日同比。</w:t>
      </w:r>
    </w:p>
    <w:p>
      <w:pPr>
        <w:numPr>
          <w:ilvl w:val="0"/>
          <w:numId w:val="1002"/>
        </w:numPr>
        <w:pStyle w:val="Compact"/>
      </w:pPr>
      <w:r>
        <w:t xml:space="preserve">🔄 午盘提出</w:t>
      </w:r>
      <w:r>
        <w:t xml:space="preserve">“</w:t>
      </w:r>
      <w:r>
        <w:t xml:space="preserve">医药-CRO条件参与、AI应用与新能源只观察、半导体存储/封测回避</w:t>
      </w:r>
      <w:r>
        <w:t xml:space="preserve">”</w:t>
      </w:r>
      <w:r>
        <w:t xml:space="preserve">：收盘药明康德仍+3.13%，宁德时代仍+2.47%，风语筑+2.84%；半导体弱势样本继续承压，午盘分层总体得到验证。</w:t>
      </w:r>
    </w:p>
    <w:p>
      <w:pPr>
        <w:numPr>
          <w:ilvl w:val="0"/>
          <w:numId w:val="1002"/>
        </w:numPr>
        <w:pStyle w:val="Compact"/>
      </w:pPr>
      <w:r>
        <w:t xml:space="preserve">⚠️ 资金从何板块流向何板块的精确金额未核验；</w:t>
      </w:r>
      <w:r>
        <w:rPr>
          <w:rStyle w:val="VerbatimChar"/>
        </w:rPr>
        <w:t xml:space="preserve">money_flow.ok=false</w:t>
      </w:r>
      <w:r>
        <w:t xml:space="preserve">，只能根据多源价格表现确认</w:t>
      </w:r>
      <w:r>
        <w:t xml:space="preserve">“</w:t>
      </w:r>
      <w:r>
        <w:t xml:space="preserve">科技内部退潮、医药及部分低位方向相对占优</w:t>
      </w:r>
      <w:r>
        <w:t xml:space="preserve">”</w:t>
      </w:r>
      <w:r>
        <w:t xml:space="preserve">，不能写成已核验的板块资金迁移金额。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领涨板块-top10-龙头股"/>
      <w:r>
        <w:t xml:space="preserve">🔥 领涨板块 TOP10 &amp; 龙头股</w:t>
      </w:r>
      <w:bookmarkEnd w:id="23"/>
    </w:p>
    <w:p>
      <w:pPr>
        <w:pStyle w:val="Heading3"/>
      </w:pPr>
      <w:bookmarkStart w:id="24" w:name="板块榜单状态"/>
      <w:r>
        <w:t xml:space="preserve">⚠️ 板块榜单状态</w:t>
      </w:r>
      <w:bookmarkEnd w:id="24"/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sector_performance.ok=false</w:t>
      </w:r>
      <w:r>
        <w:t xml:space="preserve">，东方财富接口返回HTTP 502；采集JSON没有真实的领涨板块TOP10、板块成交额榜及对应龙头榜。</w:t>
      </w:r>
    </w:p>
    <w:p>
      <w:pPr>
        <w:numPr>
          <w:ilvl w:val="0"/>
          <w:numId w:val="1003"/>
        </w:numPr>
        <w:pStyle w:val="Compact"/>
      </w:pPr>
      <w:r>
        <w:t xml:space="preserve">🚫 华泰市场洞察提到医疗服务、游戏、化学制药、酒类、保险、美容护理、中药、生物制品等方向，但它是补充文本源，不能替代缺失的结构化TOP10，因此不补写榜单名次或采用其板块涨幅。</w:t>
      </w:r>
    </w:p>
    <w:p>
      <w:pPr>
        <w:numPr>
          <w:ilvl w:val="0"/>
          <w:numId w:val="1003"/>
        </w:numPr>
        <w:pStyle w:val="Compact"/>
      </w:pPr>
      <w:r>
        <w:t xml:space="preserve">📌 可确认结论仅限多源个股价格与华泰单源选股线索：医药/CRO形成相对强势集群，PCB及封测内部高度分化，新能源由宁德时代提供局部支撑。</w:t>
      </w:r>
    </w:p>
    <w:p>
      <w:pPr>
        <w:pStyle w:val="Heading3"/>
      </w:pPr>
      <w:bookmarkStart w:id="25" w:name="成交活跃样本-top20收盘表现与明日观察"/>
      <w:r>
        <w:t xml:space="preserve">📈 成交活跃样本 TOP20：收盘表现与明日观察</w:t>
      </w:r>
      <w:bookmarkEnd w:id="25"/>
    </w:p>
    <w:p>
      <w:pPr>
        <w:pStyle w:val="BlockText"/>
      </w:pPr>
      <w:r>
        <w:t xml:space="preserve">以下为</w:t>
      </w:r>
      <w:r>
        <w:rPr>
          <w:rStyle w:val="VerbatimChar"/>
        </w:rPr>
        <w:t xml:space="preserve">stock_quote_cross_checks.sample=turnover_top</w:t>
      </w:r>
      <w:r>
        <w:t xml:space="preserve">的20只成交活跃样本，价格和涨跌幅均经东方财富、新浪、腾讯三源校验；JSON未提供成交额具体值，故不虚构金额，也不把它们写成涨幅榜。</w:t>
      </w:r>
    </w:p>
    <w:p>
      <w:pPr>
        <w:numPr>
          <w:ilvl w:val="0"/>
          <w:numId w:val="1004"/>
        </w:numPr>
        <w:pStyle w:val="Compact"/>
      </w:pPr>
      <w:r>
        <w:t xml:space="preserve">东山精密（002384）262.49元、+0.81%：PCB/消费电子链保持红盘，明日只在板块止跌、个股强于指数时继续观察，不追高。</w:t>
      </w:r>
    </w:p>
    <w:p>
      <w:pPr>
        <w:numPr>
          <w:ilvl w:val="0"/>
          <w:numId w:val="1004"/>
        </w:numPr>
        <w:pStyle w:val="Compact"/>
      </w:pPr>
      <w:r>
        <w:t xml:space="preserve">兆易创新（603986）571.79元、-2.09%：存储与芯片设计承压，明日需先看到科创科技止跌，暂不抢反弹。</w:t>
      </w:r>
    </w:p>
    <w:p>
      <w:pPr>
        <w:numPr>
          <w:ilvl w:val="0"/>
          <w:numId w:val="1004"/>
        </w:numPr>
        <w:pStyle w:val="Compact"/>
      </w:pPr>
      <w:r>
        <w:t xml:space="preserve">中际旭创（300308）1169.31元、-1.24%：CPO容量核心回落但弱于部分半导体跌幅，明日以能否转强并带动光模块为验证，不先手追涨。</w:t>
      </w:r>
    </w:p>
    <w:p>
      <w:pPr>
        <w:numPr>
          <w:ilvl w:val="0"/>
          <w:numId w:val="1004"/>
        </w:numPr>
        <w:pStyle w:val="Compact"/>
      </w:pPr>
      <w:r>
        <w:t xml:space="preserve">新易盛（300502）556.00元、-2.25%：CPO方向继续调整，只有与中际旭创同步转强且指数企稳才恢复跟踪。</w:t>
      </w:r>
    </w:p>
    <w:p>
      <w:pPr>
        <w:numPr>
          <w:ilvl w:val="0"/>
          <w:numId w:val="1004"/>
        </w:numPr>
        <w:pStyle w:val="Compact"/>
      </w:pPr>
      <w:r>
        <w:t xml:space="preserve">通富微电（002156）78.71元、+1.08%：封测内部少数红盘样本，但与长电科技、华天科技背离，明日宜观察而非认定板块反转。</w:t>
      </w:r>
    </w:p>
    <w:p>
      <w:pPr>
        <w:numPr>
          <w:ilvl w:val="0"/>
          <w:numId w:val="1004"/>
        </w:numPr>
        <w:pStyle w:val="Compact"/>
      </w:pPr>
      <w:r>
        <w:t xml:space="preserve">长电科技（600584）92.46元、-9.97%：接近跌停，封测高位风险突出；明日不抄底，等待跌势收敛和板块资金恢复。</w:t>
      </w:r>
    </w:p>
    <w:p>
      <w:pPr>
        <w:numPr>
          <w:ilvl w:val="0"/>
          <w:numId w:val="1004"/>
        </w:numPr>
        <w:pStyle w:val="Compact"/>
      </w:pPr>
      <w:r>
        <w:t xml:space="preserve">京东方A（000725）6.38元、-9.12%：显示面板显著回撤，明日先看是否止跌并收复开盘区，未确认前回避。</w:t>
      </w:r>
    </w:p>
    <w:p>
      <w:pPr>
        <w:numPr>
          <w:ilvl w:val="0"/>
          <w:numId w:val="1004"/>
        </w:numPr>
        <w:pStyle w:val="Compact"/>
      </w:pPr>
      <w:r>
        <w:t xml:space="preserve">佰维存储（688525）304.40元、-15.06%：存储链高弹性风险样本，明日即使反抽也需防流动性兑现，不做无承接抢反弹。</w:t>
      </w:r>
    </w:p>
    <w:p>
      <w:pPr>
        <w:numPr>
          <w:ilvl w:val="0"/>
          <w:numId w:val="1004"/>
        </w:numPr>
        <w:pStyle w:val="Compact"/>
      </w:pPr>
      <w:r>
        <w:t xml:space="preserve">亨通光电（600487）71.05元、-4.48%：通信与光纤方向走弱，明日需等板块联动修复，否则以风险观察为主。</w:t>
      </w:r>
    </w:p>
    <w:p>
      <w:pPr>
        <w:numPr>
          <w:ilvl w:val="0"/>
          <w:numId w:val="1004"/>
        </w:numPr>
        <w:pStyle w:val="Compact"/>
      </w:pPr>
      <w:r>
        <w:t xml:space="preserve">药明康德（603259）131.50元、+3.13%：CRO容量核心保持强势，为医药方向的重要多源验证样本；明日看能否强于指数并带动同类股。</w:t>
      </w:r>
    </w:p>
    <w:p>
      <w:pPr>
        <w:numPr>
          <w:ilvl w:val="0"/>
          <w:numId w:val="1004"/>
        </w:numPr>
        <w:pStyle w:val="Compact"/>
      </w:pPr>
      <w:r>
        <w:t xml:space="preserve">华天科技（002185）23.11元、-10.01%：封测弱势确认，明日不参与无量反抽，只有跌停风险解除后再评估。</w:t>
      </w:r>
    </w:p>
    <w:p>
      <w:pPr>
        <w:numPr>
          <w:ilvl w:val="0"/>
          <w:numId w:val="1004"/>
        </w:numPr>
        <w:pStyle w:val="Compact"/>
      </w:pPr>
      <w:r>
        <w:t xml:space="preserve">生益科技（600183）152.43元、+3.06%：PCB材料方向逆势走强，与东山精密形成局部韧性；明日若板块扩散可优先跟踪。</w:t>
      </w:r>
    </w:p>
    <w:p>
      <w:pPr>
        <w:numPr>
          <w:ilvl w:val="0"/>
          <w:numId w:val="1004"/>
        </w:numPr>
        <w:pStyle w:val="Compact"/>
      </w:pPr>
      <w:r>
        <w:t xml:space="preserve">澜起科技（688008）252.68元、-6.41%：芯片设计与AI硬件承压，明日先看止跌，不把政策利好直接等同于交易修复。</w:t>
      </w:r>
    </w:p>
    <w:p>
      <w:pPr>
        <w:numPr>
          <w:ilvl w:val="0"/>
          <w:numId w:val="1004"/>
        </w:numPr>
        <w:pStyle w:val="Compact"/>
      </w:pPr>
      <w:r>
        <w:t xml:space="preserve">宁德时代（300750）373.00元、+2.47%：动力电池容量核心逆势上涨，但由午间+3.82%回落；明日需板块扩散确认，避免孤立强势。</w:t>
      </w:r>
    </w:p>
    <w:p>
      <w:pPr>
        <w:numPr>
          <w:ilvl w:val="0"/>
          <w:numId w:val="1004"/>
        </w:numPr>
        <w:pStyle w:val="Compact"/>
      </w:pPr>
      <w:r>
        <w:t xml:space="preserve">寒武纪（688256）1347.46元、-4.50%：AI芯片高位压力仍大，明日只有科创50企稳并出现承接才恢复观察。</w:t>
      </w:r>
    </w:p>
    <w:p>
      <w:pPr>
        <w:numPr>
          <w:ilvl w:val="0"/>
          <w:numId w:val="1004"/>
        </w:numPr>
        <w:pStyle w:val="Compact"/>
      </w:pPr>
      <w:r>
        <w:t xml:space="preserve">中芯国际（688981）153.64元、-4.57%：半导体权重走弱，与科创50下跌共振；明日作为科技风险温度计，不作为追涨标的。</w:t>
      </w:r>
    </w:p>
    <w:p>
      <w:pPr>
        <w:numPr>
          <w:ilvl w:val="0"/>
          <w:numId w:val="1004"/>
        </w:numPr>
        <w:pStyle w:val="Compact"/>
      </w:pPr>
      <w:r>
        <w:t xml:space="preserve">浪潮信息（000977）84.70元、-0.29%：服务器/算力方向相对抗跌但未转强，明日需与CPO、AI应用形成多分支共振。</w:t>
      </w:r>
    </w:p>
    <w:p>
      <w:pPr>
        <w:numPr>
          <w:ilvl w:val="0"/>
          <w:numId w:val="1004"/>
        </w:numPr>
        <w:pStyle w:val="Compact"/>
      </w:pPr>
      <w:r>
        <w:t xml:space="preserve">沪电股份（002463）137.23元、+0.07%：PCB方向守住红盘，与生益科技、东山精密相互验证；明日若三者同步走强可提高优先级。</w:t>
      </w:r>
    </w:p>
    <w:p>
      <w:pPr>
        <w:numPr>
          <w:ilvl w:val="0"/>
          <w:numId w:val="1004"/>
        </w:numPr>
        <w:pStyle w:val="Compact"/>
      </w:pPr>
      <w:r>
        <w:t xml:space="preserve">紫光股份（000938）35.53元、-3.92%：网络设备与算力基础设施偏弱，明日先观察能否止跌，不参与弱势追涨。</w:t>
      </w:r>
    </w:p>
    <w:p>
      <w:pPr>
        <w:numPr>
          <w:ilvl w:val="0"/>
          <w:numId w:val="1004"/>
        </w:numPr>
        <w:pStyle w:val="Compact"/>
      </w:pPr>
      <w:r>
        <w:t xml:space="preserve">江波龙（301308）488.00元、-9.38%：存储链显著回撤，明日继续列入风险观察，止跌与资金回流缺一不可。</w:t>
      </w:r>
    </w:p>
    <w:p>
      <w:pPr>
        <w:pStyle w:val="Heading3"/>
      </w:pPr>
      <w:bookmarkStart w:id="26" w:name="华泰补充候选"/>
      <w:r>
        <w:t xml:space="preserve">🔬 华泰补充候选</w:t>
      </w:r>
      <w:bookmarkEnd w:id="26"/>
    </w:p>
    <w:p>
      <w:pPr>
        <w:numPr>
          <w:ilvl w:val="0"/>
          <w:numId w:val="1005"/>
        </w:numPr>
        <w:pStyle w:val="Compact"/>
      </w:pPr>
      <w:r>
        <w:t xml:space="preserve">华泰</w:t>
      </w:r>
      <w:r>
        <w:rPr>
          <w:rStyle w:val="VerbatimChar"/>
        </w:rPr>
        <w:t xml:space="preserve">select_stock</w:t>
      </w:r>
      <w:r>
        <w:t xml:space="preserve">收盘后给出迪哲医药-U（688192，主力净流入1.01亿元）、幸福蓝海（300528，1.82亿元）、银信科技（300231，9488万元）、中赋科技（300692，1.24亿元）、药康生物（688046，3724万元）等单源候选。</w:t>
      </w:r>
    </w:p>
    <w:p>
      <w:pPr>
        <w:numPr>
          <w:ilvl w:val="0"/>
          <w:numId w:val="1005"/>
        </w:numPr>
        <w:pStyle w:val="Compact"/>
      </w:pPr>
      <w:r>
        <w:t xml:space="preserve">⚠️ 上述金额和技术形态没有获得本地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及三源个股行情交叉验证，只能作为明日观察池，不能替代资金流入TOP10，也不能据此直接下单。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7" w:name="领跌板块-top5-资金流出"/>
      <w:r>
        <w:t xml:space="preserve">🔴 领跌板块 TOP5 &amp; 资金流出</w:t>
      </w:r>
      <w:bookmarkEnd w:id="27"/>
    </w:p>
    <w:p>
      <w:pPr>
        <w:pStyle w:val="Heading3"/>
      </w:pPr>
      <w:bookmarkStart w:id="28" w:name="领跌板块-top5"/>
      <w:r>
        <w:t xml:space="preserve">📉 领跌板块 TOP5</w:t>
      </w:r>
      <w:bookmarkEnd w:id="28"/>
    </w:p>
    <w:p>
      <w:pPr>
        <w:numPr>
          <w:ilvl w:val="0"/>
          <w:numId w:val="1006"/>
        </w:numPr>
        <w:pStyle w:val="Compact"/>
      </w:pPr>
      <w:r>
        <w:t xml:space="preserve">⚠️ 未核验：</w:t>
      </w:r>
      <w:r>
        <w:rPr>
          <w:rStyle w:val="VerbatimChar"/>
        </w:rPr>
        <w:t xml:space="preserve">sector_performance.ok=false</w:t>
      </w:r>
      <w:r>
        <w:t xml:space="preserve">，采集JSON没有真实领跌板块TOP5及跌幅，禁止依据个股样本拼接虚构板块排名。</w:t>
      </w:r>
    </w:p>
    <w:p>
      <w:pPr>
        <w:numPr>
          <w:ilvl w:val="0"/>
          <w:numId w:val="1006"/>
        </w:numPr>
        <w:pStyle w:val="Compact"/>
      </w:pPr>
      <w:r>
        <w:t xml:space="preserve">📌 可确认的风险集群是半导体-存储/封测：佰维存储-15.06%、华天科技-10.01%、长电科技-9.97%、江波龙-9.38%、澜起科技-6.41%，全部三源一致。</w:t>
      </w:r>
    </w:p>
    <w:p>
      <w:pPr>
        <w:numPr>
          <w:ilvl w:val="0"/>
          <w:numId w:val="1006"/>
        </w:numPr>
        <w:pStyle w:val="Compact"/>
      </w:pPr>
      <w:r>
        <w:t xml:space="preserve">📉 科创50-4.2521%、中芯国际-4.57%、寒武纪-4.50%，说明科技权重调整具有板块性，但仍不能替代正式领跌榜名次。</w:t>
      </w:r>
    </w:p>
    <w:p>
      <w:pPr>
        <w:pStyle w:val="Heading3"/>
      </w:pPr>
      <w:bookmarkStart w:id="29" w:name="主力净流入-top10"/>
      <w:r>
        <w:t xml:space="preserve">💰 主力净流入 TOP10</w:t>
      </w:r>
      <w:bookmarkEnd w:id="29"/>
    </w:p>
    <w:p>
      <w:pPr>
        <w:numPr>
          <w:ilvl w:val="0"/>
          <w:numId w:val="1007"/>
        </w:numPr>
        <w:pStyle w:val="Compact"/>
      </w:pPr>
      <w:r>
        <w:t xml:space="preserve">⚠️ 未核验：</w:t>
      </w:r>
      <w:r>
        <w:rPr>
          <w:rStyle w:val="VerbatimChar"/>
        </w:rPr>
        <w:t xml:space="preserve">money_flow.ok=false</w:t>
      </w:r>
      <w:r>
        <w:t xml:space="preserve">，东方财富接口HTTP 502，采集JSON没有可合法使用的板块主力净流入TOP10与金额。</w:t>
      </w:r>
    </w:p>
    <w:p>
      <w:pPr>
        <w:numPr>
          <w:ilvl w:val="0"/>
          <w:numId w:val="1007"/>
        </w:numPr>
        <w:pStyle w:val="Compact"/>
      </w:pPr>
      <w:r>
        <w:t xml:space="preserve">🚫 华泰市场洞察文本中的全市场主力净流出-409.65亿元，以及华泰选股的个股金额，均不能替代缺失的板块TOP10。</w:t>
      </w:r>
    </w:p>
    <w:p>
      <w:pPr>
        <w:pStyle w:val="Heading3"/>
      </w:pPr>
      <w:bookmarkStart w:id="30" w:name="主力净流出-top10"/>
      <w:r>
        <w:t xml:space="preserve">⚠️ 主力净流出 TOP10</w:t>
      </w:r>
      <w:bookmarkEnd w:id="30"/>
    </w:p>
    <w:p>
      <w:pPr>
        <w:numPr>
          <w:ilvl w:val="0"/>
          <w:numId w:val="1008"/>
        </w:numPr>
        <w:pStyle w:val="Compact"/>
      </w:pPr>
      <w:r>
        <w:t xml:space="preserve">⚠️ 未核验：同一结构化资金源失败，采集JSON没有板块主力净流出TOP10及金额。</w:t>
      </w:r>
    </w:p>
    <w:p>
      <w:pPr>
        <w:numPr>
          <w:ilvl w:val="0"/>
          <w:numId w:val="1008"/>
        </w:numPr>
        <w:pStyle w:val="Compact"/>
      </w:pPr>
      <w:r>
        <w:t xml:space="preserve">🚫 缺失榜单不等于没有流出；明日必须等待资金榜恢复，再判断医药是否获得持续净流入、科技是否由流出转为修复。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1" w:name="华泰自选股观察"/>
      <w:r>
        <w:t xml:space="preserve">🧾 华泰自选股观察</w:t>
      </w:r>
      <w:bookmarkEnd w:id="31"/>
    </w:p>
    <w:p>
      <w:pPr>
        <w:numPr>
          <w:ilvl w:val="0"/>
          <w:numId w:val="1009"/>
        </w:numPr>
        <w:pStyle w:val="Compact"/>
      </w:pPr>
      <w:r>
        <w:t xml:space="preserve">📌 华泰自选股3只全部取得收盘行情：弘元绿能、风语筑、工商银行均收红；行情来自华泰补充单源，执行前仍应以券商行情复核。</w:t>
      </w:r>
    </w:p>
    <w:p>
      <w:pPr>
        <w:numPr>
          <w:ilvl w:val="0"/>
          <w:numId w:val="1009"/>
        </w:numPr>
        <w:pStyle w:val="Compact"/>
      </w:pPr>
      <w:r>
        <w:t xml:space="preserve">🧭 风语筑与AI应用弱共振、弘元绿能与新能源局部共振、工商银行偏防御。三者均未得到板块资金榜确认，整体以跟踪为主、暂不作为统一主攻方向。</w:t>
      </w:r>
    </w:p>
    <w:p>
      <w:pPr>
        <w:pStyle w:val="Heading3"/>
      </w:pPr>
      <w:bookmarkStart w:id="32" w:name="弘元绿能603185"/>
      <w:r>
        <w:t xml:space="preserve">1️⃣ 弘元绿能（603185）</w:t>
      </w:r>
      <w:bookmarkEnd w:id="32"/>
    </w:p>
    <w:p>
      <w:pPr>
        <w:numPr>
          <w:ilvl w:val="0"/>
          <w:numId w:val="1010"/>
        </w:numPr>
        <w:pStyle w:val="Compact"/>
      </w:pPr>
      <w:r>
        <w:t xml:space="preserve">📈 最新价13.98元、+1.08%，前收13.83元；较午间14.20元回落0.22元，收盘仍保持红盘。</w:t>
      </w:r>
    </w:p>
    <w:p>
      <w:pPr>
        <w:numPr>
          <w:ilvl w:val="0"/>
          <w:numId w:val="1010"/>
        </w:numPr>
        <w:pStyle w:val="Compact"/>
      </w:pPr>
      <w:r>
        <w:t xml:space="preserve">🧩 所属光伏制造、硅片及新能源设备；宁德时代+2.47%只说明新能源局部有韧性，光伏板块涨幅、资金和成交额均未核验。</w:t>
      </w:r>
    </w:p>
    <w:p>
      <w:pPr>
        <w:numPr>
          <w:ilvl w:val="0"/>
          <w:numId w:val="1010"/>
        </w:numPr>
        <w:pStyle w:val="Compact"/>
      </w:pPr>
      <w:r>
        <w:t xml:space="preserve">🔄 主线关系：与医药/CRO强势线索不共振，与新能源修复仅局部共振，尚不能升级为主线票。</w:t>
      </w:r>
    </w:p>
    <w:p>
      <w:pPr>
        <w:numPr>
          <w:ilvl w:val="0"/>
          <w:numId w:val="1010"/>
        </w:numPr>
        <w:pStyle w:val="Compact"/>
      </w:pPr>
      <w:r>
        <w:t xml:space="preserve">💡 判断：继续观察、偏弱修复，不追高；只有光伏板块放量转强、资金榜恢复净流入且个股重新站稳14.20元，才可低吸跟踪。</w:t>
      </w:r>
    </w:p>
    <w:p>
      <w:pPr>
        <w:pStyle w:val="Heading3"/>
      </w:pPr>
      <w:bookmarkStart w:id="33" w:name="风语筑603466"/>
      <w:r>
        <w:t xml:space="preserve">2️⃣ 风语筑（603466）</w:t>
      </w:r>
      <w:bookmarkEnd w:id="33"/>
    </w:p>
    <w:p>
      <w:pPr>
        <w:numPr>
          <w:ilvl w:val="0"/>
          <w:numId w:val="1011"/>
        </w:numPr>
        <w:pStyle w:val="Compact"/>
      </w:pPr>
      <w:r>
        <w:t xml:space="preserve">📈 最新价11.94元、+2.84%，前收11.61元；较午间12.11元回落0.17元，仍强于主要指数。</w:t>
      </w:r>
    </w:p>
    <w:p>
      <w:pPr>
        <w:numPr>
          <w:ilvl w:val="0"/>
          <w:numId w:val="1011"/>
        </w:numPr>
        <w:pStyle w:val="Compact"/>
      </w:pPr>
      <w:r>
        <w:t xml:space="preserve">🧩 所属数字文化展示、沉浸式体验与AI应用；与盘前确认的AI开放应用政策存在关系，但AI硬件端中芯国际-4.57%、寒武纪-4.50%，未形成完整共振。</w:t>
      </w:r>
    </w:p>
    <w:p>
      <w:pPr>
        <w:numPr>
          <w:ilvl w:val="0"/>
          <w:numId w:val="1011"/>
        </w:numPr>
        <w:pStyle w:val="Compact"/>
      </w:pPr>
      <w:r>
        <w:t xml:space="preserve">🔄 主线关系：应用端个股相对强，板块扩散和资金净流入未核验，暂不能认定为明日主攻方向。</w:t>
      </w:r>
    </w:p>
    <w:p>
      <w:pPr>
        <w:numPr>
          <w:ilvl w:val="0"/>
          <w:numId w:val="1011"/>
        </w:numPr>
        <w:pStyle w:val="Compact"/>
      </w:pPr>
      <w:r>
        <w:t xml:space="preserve">💡 判断：偏强但不追高；持仓者继续观察11.61元前收之上的承接，只有AI应用多股联动、资金恢复为净流入时才可低吸跟踪。</w:t>
      </w:r>
    </w:p>
    <w:p>
      <w:pPr>
        <w:pStyle w:val="Heading3"/>
      </w:pPr>
      <w:bookmarkStart w:id="34" w:name="工商银行601398"/>
      <w:r>
        <w:t xml:space="preserve">3️⃣ 工商银行（601398）</w:t>
      </w:r>
      <w:bookmarkEnd w:id="34"/>
    </w:p>
    <w:p>
      <w:pPr>
        <w:numPr>
          <w:ilvl w:val="0"/>
          <w:numId w:val="1012"/>
        </w:numPr>
        <w:pStyle w:val="Compact"/>
      </w:pPr>
      <w:r>
        <w:t xml:space="preserve">📈 最新价7.51元、+0.13%，前收7.50元；午间7.47元后回升并收复前收，表现强于沪深300的-0.2026%。</w:t>
      </w:r>
    </w:p>
    <w:p>
      <w:pPr>
        <w:numPr>
          <w:ilvl w:val="0"/>
          <w:numId w:val="1012"/>
        </w:numPr>
        <w:pStyle w:val="Compact"/>
      </w:pPr>
      <w:r>
        <w:t xml:space="preserve">🧩 所属国有大行和高股息红利，主要承担组合防御与波动平衡，不属于医药或科技的进攻主线。</w:t>
      </w:r>
    </w:p>
    <w:p>
      <w:pPr>
        <w:numPr>
          <w:ilvl w:val="0"/>
          <w:numId w:val="1012"/>
        </w:numPr>
        <w:pStyle w:val="Compact"/>
      </w:pPr>
      <w:r>
        <w:t xml:space="preserve">🔄 主线关系：与华泰文本提到的金融防御方向有弱共振，但银行板块结构化表现与资金榜未核验。</w:t>
      </w:r>
    </w:p>
    <w:p>
      <w:pPr>
        <w:numPr>
          <w:ilvl w:val="0"/>
          <w:numId w:val="1012"/>
        </w:numPr>
        <w:pStyle w:val="Compact"/>
      </w:pPr>
      <w:r>
        <w:t xml:space="preserve">💡 判断：稳健持有、继续观察，可低吸跟踪但不追高；若跌回7.50元下方且银行板块同步走弱，则暂停加仓。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5" w:name="市场情绪综合判断"/>
      <w:r>
        <w:t xml:space="preserve">🎭 市场情绪综合判断</w:t>
      </w:r>
      <w:bookmarkEnd w:id="35"/>
    </w:p>
    <w:p>
      <w:pPr>
        <w:numPr>
          <w:ilvl w:val="0"/>
          <w:numId w:val="1013"/>
        </w:numPr>
        <w:pStyle w:val="Compact"/>
      </w:pPr>
      <w:r>
        <w:t xml:space="preserve">📈 赚钱效应：3351家上涨、2098家下跌，上涨家数占优；74家涨停说明局部进攻仍在，但29家跌停显示高位风险加剧。</w:t>
      </w:r>
    </w:p>
    <w:p>
      <w:pPr>
        <w:numPr>
          <w:ilvl w:val="0"/>
          <w:numId w:val="1013"/>
        </w:numPr>
        <w:pStyle w:val="Compact"/>
      </w:pPr>
      <w:r>
        <w:t xml:space="preserve">📉 指数分歧：三大指数均收跌，科创50-4.2521%；权重科技下跌显著强于全市场个股层面的弱化程度。</w:t>
      </w:r>
    </w:p>
    <w:p>
      <w:pPr>
        <w:numPr>
          <w:ilvl w:val="0"/>
          <w:numId w:val="1013"/>
        </w:numPr>
        <w:pStyle w:val="Compact"/>
      </w:pPr>
      <w:r>
        <w:t xml:space="preserve">🔄 市场风格：</w:t>
      </w:r>
      <w:r>
        <w:rPr>
          <w:rStyle w:val="VerbatimChar"/>
        </w:rPr>
        <w:t xml:space="preserve">derived.market_style</w:t>
      </w:r>
      <w:r>
        <w:t xml:space="preserve">为</w:t>
      </w:r>
      <w:r>
        <w:t xml:space="preserve">“</w:t>
      </w:r>
      <w:r>
        <w:t xml:space="preserve">震荡/均衡</w:t>
      </w:r>
      <w:r>
        <w:t xml:space="preserve">”</w:t>
      </w:r>
      <w:r>
        <w:t xml:space="preserve">。实际结构偏向</w:t>
      </w:r>
      <w:r>
        <w:t xml:space="preserve">“</w:t>
      </w:r>
      <w:r>
        <w:t xml:space="preserve">高低切换、科技去拥挤、医药与防御相对占优</w:t>
      </w:r>
      <w:r>
        <w:t xml:space="preserve">”</w:t>
      </w:r>
      <w:r>
        <w:t xml:space="preserve">，但板块榜和资金榜缺失使该解释只能保持中等置信度。</w:t>
      </w:r>
    </w:p>
    <w:p>
      <w:pPr>
        <w:numPr>
          <w:ilvl w:val="0"/>
          <w:numId w:val="1013"/>
        </w:numPr>
        <w:pStyle w:val="Compact"/>
      </w:pPr>
      <w:r>
        <w:t xml:space="preserve">🎭 情绪周期：定性为</w:t>
      </w:r>
      <w:r>
        <w:t xml:space="preserve">“</w:t>
      </w:r>
      <w:r>
        <w:t xml:space="preserve">正常偏分歧，局部退潮</w:t>
      </w:r>
      <w:r>
        <w:t xml:space="preserve">”</w:t>
      </w:r>
      <w:r>
        <w:t xml:space="preserve">。不是冰点，因为上涨家数和涨停数仍占优；不是过热，因为主要指数普跌、科创50重挫且跌停数午后增加13家。</w:t>
      </w:r>
    </w:p>
    <w:p>
      <w:pPr>
        <w:numPr>
          <w:ilvl w:val="0"/>
          <w:numId w:val="1013"/>
        </w:numPr>
        <w:pStyle w:val="Compact"/>
      </w:pPr>
      <w:r>
        <w:t xml:space="preserve">⚠️ 数据冲突：同花顺结构化跌停29家，华泰文本33家；采用前者并标记差异。华泰文本主力净流出-409.65亿元未获结构化资金源核验，不纳入仓位计算。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6" w:name="明日展望"/>
      <w:r>
        <w:t xml:space="preserve">🎯 明日展望</w:t>
      </w:r>
      <w:bookmarkEnd w:id="36"/>
    </w:p>
    <w:p>
      <w:pPr>
        <w:numPr>
          <w:ilvl w:val="0"/>
          <w:numId w:val="1014"/>
        </w:numPr>
        <w:pStyle w:val="Compact"/>
      </w:pPr>
      <w:r>
        <w:t xml:space="preserve">🔥 延续性较高的验证方向：医药-CRO/创新药服务。药明康德收盘+3.13%获三源确认，华泰单源候选继续集中于医药；明日需看容量股承接和板块资金恢复。</w:t>
      </w:r>
    </w:p>
    <w:p>
      <w:pPr>
        <w:numPr>
          <w:ilvl w:val="0"/>
          <w:numId w:val="1014"/>
        </w:numPr>
        <w:pStyle w:val="Compact"/>
      </w:pPr>
      <w:r>
        <w:t xml:space="preserve">📈 结构性修复方向：PCB材料/消费电子。生益科技+3.06%、东山精密+0.81%、沪电股份+0.07%，相对半导体存储更抗跌，但只能做分支强弱，不代表整个科技反转。</w:t>
      </w:r>
    </w:p>
    <w:p>
      <w:pPr>
        <w:numPr>
          <w:ilvl w:val="0"/>
          <w:numId w:val="1014"/>
        </w:numPr>
        <w:pStyle w:val="Compact"/>
      </w:pPr>
      <w:r>
        <w:t xml:space="preserve">🛡️ 防御方向：国有大行/高股息。工商银行7.51元、+0.13%，可作为组合稳定器；板块资金未核验，禁止追涨扩仓。</w:t>
      </w:r>
    </w:p>
    <w:p>
      <w:pPr>
        <w:numPr>
          <w:ilvl w:val="0"/>
          <w:numId w:val="1014"/>
        </w:numPr>
        <w:pStyle w:val="Compact"/>
      </w:pPr>
      <w:r>
        <w:t xml:space="preserve">👀 观察方向：动力电池/光伏制造与AI应用。宁德时代+2.47%、弘元绿能+1.08%、风语筑+2.84%提供样本，但板块扩散不足。</w:t>
      </w:r>
    </w:p>
    <w:p>
      <w:pPr>
        <w:numPr>
          <w:ilvl w:val="0"/>
          <w:numId w:val="1014"/>
        </w:numPr>
        <w:pStyle w:val="Compact"/>
      </w:pPr>
      <w:r>
        <w:t xml:space="preserve">🚫 回避方向：半导体存储/封测的无承接反抽。佰维存储、华天科技、长电科技、江波龙均接近或超过9%的跌幅，需先等待止跌。</w:t>
      </w:r>
    </w:p>
    <w:p>
      <w:pPr>
        <w:pStyle w:val="Heading3"/>
      </w:pPr>
      <w:bookmarkStart w:id="37" w:name="仓位建议"/>
      <w:r>
        <w:t xml:space="preserve">💡 仓位建议</w:t>
      </w:r>
      <w:bookmarkEnd w:id="37"/>
    </w:p>
    <w:p>
      <w:pPr>
        <w:numPr>
          <w:ilvl w:val="0"/>
          <w:numId w:val="1015"/>
        </w:numPr>
        <w:pStyle w:val="Compact"/>
      </w:pPr>
      <w:r>
        <w:t xml:space="preserve">激进：最高60%，建议50%-60%；只做强势方向分歧承接，资金榜恢复前不突破上限。</w:t>
      </w:r>
    </w:p>
    <w:p>
      <w:pPr>
        <w:numPr>
          <w:ilvl w:val="0"/>
          <w:numId w:val="1015"/>
        </w:numPr>
        <w:pStyle w:val="Compact"/>
      </w:pPr>
      <w:r>
        <w:t xml:space="preserve">稳健：最高45%，建议35%-45%；医药或PCB确认方向与红利底仓搭配，避免单押高波动科技。</w:t>
      </w:r>
    </w:p>
    <w:p>
      <w:pPr>
        <w:numPr>
          <w:ilvl w:val="0"/>
          <w:numId w:val="1015"/>
        </w:numPr>
        <w:pStyle w:val="Compact"/>
      </w:pPr>
      <w:r>
        <w:t xml:space="preserve">保守：最高30%，建议20%-30%；等待科创50止跌、资金榜恢复和板块扩散后再增仓。</w:t>
      </w:r>
    </w:p>
    <w:p>
      <w:pPr>
        <w:numPr>
          <w:ilvl w:val="0"/>
          <w:numId w:val="1015"/>
        </w:numPr>
        <w:pStyle w:val="Compact"/>
      </w:pPr>
      <w:r>
        <w:t xml:space="preserve">⚠️ 成交额昨日比较口径为</w:t>
      </w:r>
      <w:r>
        <w:rPr>
          <w:rStyle w:val="VerbatimChar"/>
        </w:rPr>
        <w:t xml:space="preserve">unverified</w:t>
      </w:r>
      <w:r>
        <w:t xml:space="preserve">，不得以成交额变化百分比作为加减仓依据。</w:t>
      </w:r>
    </w:p>
    <w:p>
      <w:pPr>
        <w:pStyle w:val="Heading3"/>
      </w:pPr>
      <w:bookmarkStart w:id="38" w:name="明日主要风险"/>
      <w:r>
        <w:t xml:space="preserve">⚠️ 明日主要风险</w:t>
      </w:r>
      <w:bookmarkEnd w:id="38"/>
    </w:p>
    <w:p>
      <w:pPr>
        <w:numPr>
          <w:ilvl w:val="0"/>
          <w:numId w:val="1016"/>
        </w:numPr>
        <w:pStyle w:val="Compact"/>
      </w:pPr>
      <w:r>
        <w:t xml:space="preserve">科技高位筹码继续松动，存储、封测风险向CPO、算力或PCB扩散。</w:t>
      </w:r>
    </w:p>
    <w:p>
      <w:pPr>
        <w:numPr>
          <w:ilvl w:val="0"/>
          <w:numId w:val="1016"/>
        </w:numPr>
        <w:pStyle w:val="Compact"/>
      </w:pPr>
      <w:r>
        <w:t xml:space="preserve">医药/CRO若高开后缺少容量股承接，单源候选可能快速兑现。</w:t>
      </w:r>
    </w:p>
    <w:p>
      <w:pPr>
        <w:numPr>
          <w:ilvl w:val="0"/>
          <w:numId w:val="1016"/>
        </w:numPr>
        <w:pStyle w:val="Compact"/>
      </w:pPr>
      <w:r>
        <w:t xml:space="preserve">中报业绩预告与减值风险引发个股跳空，尤其要回避未核验业绩的小盘高波动标的。</w:t>
      </w:r>
    </w:p>
    <w:p>
      <w:pPr>
        <w:numPr>
          <w:ilvl w:val="0"/>
          <w:numId w:val="1016"/>
        </w:numPr>
        <w:pStyle w:val="Compact"/>
      </w:pPr>
      <w:r>
        <w:t xml:space="preserve">板块资金、板块涨跌、活跃股及涨跌停个股榜均缺失，方向结论置信度低于正常复盘。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9" w:name="明日投资方向排序"/>
      <w:r>
        <w:t xml:space="preserve">🎯 明日投资方向排序</w:t>
      </w:r>
      <w:bookmarkEnd w:id="39"/>
    </w:p>
    <w:p>
      <w:pPr>
        <w:pStyle w:val="Heading3"/>
      </w:pPr>
      <w:bookmarkStart w:id="40" w:name="方向一医药-cro创新药服务优先级高条件参与"/>
      <w:r>
        <w:t xml:space="preserve">方向一：医药-CRO/创新药服务（优先级：高，条件参与）</w:t>
      </w:r>
      <w:bookmarkEnd w:id="40"/>
    </w:p>
    <w:p>
      <w:pPr>
        <w:numPr>
          <w:ilvl w:val="0"/>
          <w:numId w:val="1017"/>
        </w:numPr>
        <w:pStyle w:val="Compact"/>
      </w:pPr>
      <w:r>
        <w:t xml:space="preserve">📌 证据链：药明康德131.50元、+3.13%获三源确认；午间昭衍新药+10.00%、康龙化成+11.75%、美迪西+11.67%、众生药业+10.02%、哈药股份+10.05%构成华泰单源强势集群；收盘后华泰候选又出现迪哲医药-U和药康生物，方向线索延续。</w:t>
      </w:r>
    </w:p>
    <w:p>
      <w:pPr>
        <w:numPr>
          <w:ilvl w:val="0"/>
          <w:numId w:val="1017"/>
        </w:numPr>
        <w:pStyle w:val="Compact"/>
      </w:pPr>
      <w:r>
        <w:t xml:space="preserve">🔥 核心标的：药明康德（三源确认的容量样本）；昭衍新药、康龙化成（午间华泰单源高辨识度样本）；迪哲医药-U、药康生物（收盘华泰单源观察池，需明日复核）。</w:t>
      </w:r>
    </w:p>
    <w:p>
      <w:pPr>
        <w:numPr>
          <w:ilvl w:val="0"/>
          <w:numId w:val="1017"/>
        </w:numPr>
        <w:pStyle w:val="Compact"/>
      </w:pPr>
      <w:r>
        <w:t xml:space="preserve">💡 参与策略：激进等待强势股首次分歧后的承接；稳健只在药明康德保持强势且板块多股联动时参与；保守等待资金榜恢复。</w:t>
      </w:r>
    </w:p>
    <w:p>
      <w:pPr>
        <w:numPr>
          <w:ilvl w:val="0"/>
          <w:numId w:val="1017"/>
        </w:numPr>
        <w:pStyle w:val="Compact"/>
      </w:pPr>
      <w:r>
        <w:t xml:space="preserve">✅ 触发条件：药明康德强于指数，至少3只医药核心同步走强，恢复后的板块资金榜显示净流入延续。</w:t>
      </w:r>
    </w:p>
    <w:p>
      <w:pPr>
        <w:numPr>
          <w:ilvl w:val="0"/>
          <w:numId w:val="1017"/>
        </w:numPr>
        <w:pStyle w:val="Compact"/>
      </w:pPr>
      <w:r>
        <w:t xml:space="preserve">🚫 失效条件：容量股转跌、强势股集体高开低走，或板块资金恢复后出现明显净流出。</w:t>
      </w:r>
    </w:p>
    <w:p>
      <w:pPr>
        <w:numPr>
          <w:ilvl w:val="0"/>
          <w:numId w:val="1017"/>
        </w:numPr>
        <w:pStyle w:val="Compact"/>
      </w:pPr>
      <w:r>
        <w:t xml:space="preserve">⚠️ 风险：高位兑现、单源资金数据误差、中报业绩分化与政策预期落空。</w:t>
      </w:r>
    </w:p>
    <w:p>
      <w:pPr>
        <w:pStyle w:val="Heading3"/>
      </w:pPr>
      <w:bookmarkStart w:id="41" w:name="方向二pcb材料消费电子结构性修复优先级中"/>
      <w:r>
        <w:t xml:space="preserve">方向二：PCB材料/消费电子结构性修复（优先级：中）</w:t>
      </w:r>
      <w:bookmarkEnd w:id="41"/>
    </w:p>
    <w:p>
      <w:pPr>
        <w:numPr>
          <w:ilvl w:val="0"/>
          <w:numId w:val="1018"/>
        </w:numPr>
        <w:pStyle w:val="Compact"/>
      </w:pPr>
      <w:r>
        <w:t xml:space="preserve">📌 证据链：生益科技152.43元、+3.06%，东山精密262.49元、+0.81%，沪电股份137.23元、+0.07%，三只均获多源校验；同日存储与封测大跌，说明资金更偏向科技内部高低切换而非全面回流。</w:t>
      </w:r>
    </w:p>
    <w:p>
      <w:pPr>
        <w:numPr>
          <w:ilvl w:val="0"/>
          <w:numId w:val="1018"/>
        </w:numPr>
        <w:pStyle w:val="Compact"/>
      </w:pPr>
      <w:r>
        <w:t xml:space="preserve">🔥 核心标的：生益科技（逆势涨幅最强）；东山精密（成交活跃且红盘）；沪电股份（守住红盘，作为板块扩散验证）。</w:t>
      </w:r>
    </w:p>
    <w:p>
      <w:pPr>
        <w:numPr>
          <w:ilvl w:val="0"/>
          <w:numId w:val="1018"/>
        </w:numPr>
        <w:pStyle w:val="Compact"/>
      </w:pPr>
      <w:r>
        <w:t xml:space="preserve">💡 参与策略：激进做板块内最强者回踩承接；稳健等待三只同步转强；保守不参与科技内部轮动。</w:t>
      </w:r>
    </w:p>
    <w:p>
      <w:pPr>
        <w:numPr>
          <w:ilvl w:val="0"/>
          <w:numId w:val="1018"/>
        </w:numPr>
        <w:pStyle w:val="Compact"/>
      </w:pPr>
      <w:r>
        <w:t xml:space="preserve">✅ 触发条件：三只核心至少两只明显强于指数，PCB板块放量且资金榜恢复为净流入。</w:t>
      </w:r>
    </w:p>
    <w:p>
      <w:pPr>
        <w:numPr>
          <w:ilvl w:val="0"/>
          <w:numId w:val="1018"/>
        </w:numPr>
        <w:pStyle w:val="Compact"/>
      </w:pPr>
      <w:r>
        <w:t xml:space="preserve">🚫 失效条件：生益科技转跌、东山精密与沪电股份同步走弱，或半导体退潮向PCB扩散。</w:t>
      </w:r>
    </w:p>
    <w:p>
      <w:pPr>
        <w:numPr>
          <w:ilvl w:val="0"/>
          <w:numId w:val="1018"/>
        </w:numPr>
        <w:pStyle w:val="Compact"/>
      </w:pPr>
      <w:r>
        <w:t xml:space="preserve">⚠️ 风险：科技整体风险偏好继续下降、局部强势补跌、高位估值兑现。</w:t>
      </w:r>
    </w:p>
    <w:p>
      <w:pPr>
        <w:pStyle w:val="Heading3"/>
      </w:pPr>
      <w:bookmarkStart w:id="42" w:name="方向三国有大行-高股息防御优先级中"/>
      <w:r>
        <w:t xml:space="preserve">方向三：国有大行-高股息防御（优先级：中）</w:t>
      </w:r>
      <w:bookmarkEnd w:id="42"/>
    </w:p>
    <w:p>
      <w:pPr>
        <w:numPr>
          <w:ilvl w:val="0"/>
          <w:numId w:val="1019"/>
        </w:numPr>
        <w:pStyle w:val="Compact"/>
      </w:pPr>
      <w:r>
        <w:t xml:space="preserve">📌 证据链：工商银行7.51元、+0.13%，午后由7.47元回升并强于沪深300-0.2026%；主要指数普跌、科创50-4.2521%，提高了低波动底仓的组合价值；华泰市场洞察亦把金融列为高低切换承接方向，但仅作补充。</w:t>
      </w:r>
    </w:p>
    <w:p>
      <w:pPr>
        <w:numPr>
          <w:ilvl w:val="0"/>
          <w:numId w:val="1019"/>
        </w:numPr>
        <w:pStyle w:val="Compact"/>
      </w:pPr>
      <w:r>
        <w:t xml:space="preserve">🔥 核心标的：工商银行（自选股、最新价可得）；农业银行（用户持仓，但本轮无最新价）；其余国有大行不扩展未经确认的行情。</w:t>
      </w:r>
    </w:p>
    <w:p>
      <w:pPr>
        <w:numPr>
          <w:ilvl w:val="0"/>
          <w:numId w:val="1019"/>
        </w:numPr>
        <w:pStyle w:val="Compact"/>
      </w:pPr>
      <w:r>
        <w:t xml:space="preserve">💡 参与策略：激进不做银行追涨；稳健保留红利底仓；保守以工商银行能否守住前收作为防御温度计。</w:t>
      </w:r>
    </w:p>
    <w:p>
      <w:pPr>
        <w:numPr>
          <w:ilvl w:val="0"/>
          <w:numId w:val="1019"/>
        </w:numPr>
        <w:pStyle w:val="Compact"/>
      </w:pPr>
      <w:r>
        <w:t xml:space="preserve">✅ 触发条件：工商银行保持在7.50元之上，国有大行整体强于上证，恢复后的银行资金不出现明显净流出。</w:t>
      </w:r>
    </w:p>
    <w:p>
      <w:pPr>
        <w:numPr>
          <w:ilvl w:val="0"/>
          <w:numId w:val="1019"/>
        </w:numPr>
        <w:pStyle w:val="Compact"/>
      </w:pPr>
      <w:r>
        <w:t xml:space="preserve">🚫 失效条件：工商银行跌破7.50元且无法收回，银行与指数同步走弱。</w:t>
      </w:r>
    </w:p>
    <w:p>
      <w:pPr>
        <w:numPr>
          <w:ilvl w:val="0"/>
          <w:numId w:val="1019"/>
        </w:numPr>
        <w:pStyle w:val="Compact"/>
      </w:pPr>
      <w:r>
        <w:t xml:space="preserve">⚠️ 风险：红利拥挤、利率预期变化、系统性回撤；农业银行行情未核验。</w:t>
      </w:r>
    </w:p>
    <w:p>
      <w:pPr>
        <w:pStyle w:val="Heading3"/>
      </w:pPr>
      <w:bookmarkStart w:id="43" w:name="方向四动力电池光伏制造优先级观察"/>
      <w:r>
        <w:t xml:space="preserve">方向四：动力电池/光伏制造（优先级：观察）</w:t>
      </w:r>
      <w:bookmarkEnd w:id="43"/>
    </w:p>
    <w:p>
      <w:pPr>
        <w:numPr>
          <w:ilvl w:val="0"/>
          <w:numId w:val="1020"/>
        </w:numPr>
        <w:pStyle w:val="Compact"/>
      </w:pPr>
      <w:r>
        <w:t xml:space="preserve">📌 证据链：宁德时代373.00元、+2.47%获三源确认；弘元绿能13.98元、+1.08%为华泰单源自选股行情；全市场3351家上涨提供修复环境，但新能源板块榜与资金榜缺失。</w:t>
      </w:r>
    </w:p>
    <w:p>
      <w:pPr>
        <w:numPr>
          <w:ilvl w:val="0"/>
          <w:numId w:val="1020"/>
        </w:numPr>
        <w:pStyle w:val="Compact"/>
      </w:pPr>
      <w:r>
        <w:t xml:space="preserve">🔥 核心标的：宁德时代（动力电池容量核心）；弘元绿能（光伏制造自选股，仅作修复样本）。</w:t>
      </w:r>
    </w:p>
    <w:p>
      <w:pPr>
        <w:numPr>
          <w:ilvl w:val="0"/>
          <w:numId w:val="1020"/>
        </w:numPr>
        <w:pStyle w:val="Compact"/>
      </w:pPr>
      <w:r>
        <w:t xml:space="preserve">💡 参与策略：激进只做已有持仓的条件管理；稳健等待电池与光伏同步走强；保守继续观察。</w:t>
      </w:r>
    </w:p>
    <w:p>
      <w:pPr>
        <w:numPr>
          <w:ilvl w:val="0"/>
          <w:numId w:val="1020"/>
        </w:numPr>
        <w:pStyle w:val="Compact"/>
      </w:pPr>
      <w:r>
        <w:t xml:space="preserve">✅ 触发条件：宁德时代继续强于指数，弘元绿能重新站稳14.20元，且新能源资金恢复净流入。</w:t>
      </w:r>
    </w:p>
    <w:p>
      <w:pPr>
        <w:numPr>
          <w:ilvl w:val="0"/>
          <w:numId w:val="1020"/>
        </w:numPr>
        <w:pStyle w:val="Compact"/>
      </w:pPr>
      <w:r>
        <w:t xml:space="preserve">🚫 失效条件：宁德时代转跌、弘元绿能跌破13.83元前收，或板块资金确认流出。</w:t>
      </w:r>
    </w:p>
    <w:p>
      <w:pPr>
        <w:numPr>
          <w:ilvl w:val="0"/>
          <w:numId w:val="1020"/>
        </w:numPr>
        <w:pStyle w:val="Compact"/>
      </w:pPr>
      <w:r>
        <w:t xml:space="preserve">⚠️ 风险：单一龙头上涨但板块不扩散、光伏供需压力、修复行情次日兑现。</w:t>
      </w:r>
    </w:p>
    <w:p>
      <w:pPr>
        <w:pStyle w:val="Heading3"/>
      </w:pPr>
      <w:bookmarkStart w:id="44" w:name="方向五ai应用-数字展示优先级观察"/>
      <w:r>
        <w:t xml:space="preserve">方向五：AI应用-数字展示（优先级：观察）</w:t>
      </w:r>
      <w:bookmarkEnd w:id="44"/>
    </w:p>
    <w:p>
      <w:pPr>
        <w:numPr>
          <w:ilvl w:val="0"/>
          <w:numId w:val="1021"/>
        </w:numPr>
        <w:pStyle w:val="Compact"/>
      </w:pPr>
      <w:r>
        <w:t xml:space="preserve">📌 证据链：风语筑11.94元、+2.84%，与AI应用和数字展示政策有关系；但中芯国际-4.57%、寒武纪-4.50%、科创50-4.2521%，AI硬件没有共振。</w:t>
      </w:r>
    </w:p>
    <w:p>
      <w:pPr>
        <w:numPr>
          <w:ilvl w:val="0"/>
          <w:numId w:val="1021"/>
        </w:numPr>
        <w:pStyle w:val="Compact"/>
      </w:pPr>
      <w:r>
        <w:t xml:space="preserve">🔥 核心标的：风语筑（自选股、应用端相对强）；浪潮信息（84.70元、-0.29%，算力承接观察样本）；银信科技（华泰收盘单源候选，需复核）。</w:t>
      </w:r>
    </w:p>
    <w:p>
      <w:pPr>
        <w:numPr>
          <w:ilvl w:val="0"/>
          <w:numId w:val="1021"/>
        </w:numPr>
        <w:pStyle w:val="Compact"/>
      </w:pPr>
      <w:r>
        <w:t xml:space="preserve">💡 参与策略：激进只看风语筑回踩承接；稳健等待应用、算力至少两个分支联动；保守不参与。</w:t>
      </w:r>
    </w:p>
    <w:p>
      <w:pPr>
        <w:numPr>
          <w:ilvl w:val="0"/>
          <w:numId w:val="1021"/>
        </w:numPr>
        <w:pStyle w:val="Compact"/>
      </w:pPr>
      <w:r>
        <w:t xml:space="preserve">✅ 触发条件：风语筑守住11.61元，浪潮信息转强，AI应用多股扩散且板块资金恢复净流入。</w:t>
      </w:r>
    </w:p>
    <w:p>
      <w:pPr>
        <w:numPr>
          <w:ilvl w:val="0"/>
          <w:numId w:val="1021"/>
        </w:numPr>
        <w:pStyle w:val="Compact"/>
      </w:pPr>
      <w:r>
        <w:t xml:space="preserve">🚫 失效条件：风语筑跌破11.61元并持续走弱，或科创50继续扩大跌幅拖累应用端。</w:t>
      </w:r>
    </w:p>
    <w:p>
      <w:pPr>
        <w:numPr>
          <w:ilvl w:val="0"/>
          <w:numId w:val="1021"/>
        </w:numPr>
        <w:pStyle w:val="Compact"/>
      </w:pPr>
      <w:r>
        <w:t xml:space="preserve">⚠️ 风险：政策与交易强度脱节、单一个股脉冲、科技高位兑现。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5" w:name="用户实盘持仓收盘观察"/>
      <w:r>
        <w:t xml:space="preserve">💼 用户实盘持仓收盘观察</w:t>
      </w:r>
      <w:bookmarkEnd w:id="45"/>
    </w:p>
    <w:p>
      <w:pPr>
        <w:pStyle w:val="BlockText"/>
      </w:pPr>
      <w:r>
        <w:t xml:space="preserve">本节为复盘补充，不替代盘前持仓策略。弘元绿能、风语筑、工商银行使用华泰单源收盘行情；农业银行本轮无可确认价格。盈亏按用户成本和已确认收盘价计算，执行前以券商账户为准。</w:t>
      </w:r>
    </w:p>
    <w:p>
      <w:pPr>
        <w:pStyle w:val="Heading3"/>
      </w:pPr>
      <w:bookmarkStart w:id="46" w:name="弘元绿能603185300股成本26.6669元"/>
      <w:r>
        <w:t xml:space="preserve">弘元绿能（603185）｜300股｜成本26.6669元</w:t>
      </w:r>
      <w:bookmarkEnd w:id="46"/>
    </w:p>
    <w:p>
      <w:pPr>
        <w:numPr>
          <w:ilvl w:val="0"/>
          <w:numId w:val="1022"/>
        </w:numPr>
        <w:pStyle w:val="Compact"/>
      </w:pPr>
      <w:r>
        <w:t xml:space="preserve">📉 收盘13.98元，参考浮亏47.58%，参考浮动亏损3806.07元；与成本差距大，不能以回本为唯一决策依据。</w:t>
      </w:r>
    </w:p>
    <w:p>
      <w:pPr>
        <w:numPr>
          <w:ilvl w:val="0"/>
          <w:numId w:val="1022"/>
        </w:numPr>
        <w:pStyle w:val="Compact"/>
      </w:pPr>
      <w:r>
        <w:t xml:space="preserve">💡 明日动作：减仓观察。反弹若不能重新站稳14.20元，且光伏板块仍无资金与成交共振，优先降低仓位。</w:t>
      </w:r>
    </w:p>
    <w:p>
      <w:pPr>
        <w:numPr>
          <w:ilvl w:val="0"/>
          <w:numId w:val="1022"/>
        </w:numPr>
        <w:pStyle w:val="Compact"/>
      </w:pPr>
      <w:r>
        <w:t xml:space="preserve">✅ 条件加仓：仅在光伏板块放量、资金恢复净流入、个股站稳14.20元并回踩确认后小仓跟踪。</w:t>
      </w:r>
    </w:p>
    <w:p>
      <w:pPr>
        <w:numPr>
          <w:ilvl w:val="0"/>
          <w:numId w:val="1022"/>
        </w:numPr>
        <w:pStyle w:val="Compact"/>
      </w:pPr>
      <w:r>
        <w:t xml:space="preserve">🚫 失效条件：跌破13.83元前收且无法快速收回；禁止无条件摊薄成本。</w:t>
      </w:r>
    </w:p>
    <w:p>
      <w:pPr>
        <w:pStyle w:val="Heading3"/>
      </w:pPr>
      <w:bookmarkStart w:id="47" w:name="风语筑603466700股成本13.2159元"/>
      <w:r>
        <w:t xml:space="preserve">风语筑（603466）｜700股｜成本13.2159元</w:t>
      </w:r>
      <w:bookmarkEnd w:id="47"/>
    </w:p>
    <w:p>
      <w:pPr>
        <w:numPr>
          <w:ilvl w:val="0"/>
          <w:numId w:val="1023"/>
        </w:numPr>
        <w:pStyle w:val="Compact"/>
      </w:pPr>
      <w:r>
        <w:t xml:space="preserve">📉 收盘11.94元，参考浮亏9.65%，参考浮动亏损893.13元；全天+2.84%，但午后由12.11元回落。</w:t>
      </w:r>
    </w:p>
    <w:p>
      <w:pPr>
        <w:numPr>
          <w:ilvl w:val="0"/>
          <w:numId w:val="1023"/>
        </w:numPr>
        <w:pStyle w:val="Compact"/>
      </w:pPr>
      <w:r>
        <w:t xml:space="preserve">💡 明日动作：持有观察、冲高条件减仓；不因距离成本较近而追求机械回本。</w:t>
      </w:r>
    </w:p>
    <w:p>
      <w:pPr>
        <w:numPr>
          <w:ilvl w:val="0"/>
          <w:numId w:val="1023"/>
        </w:numPr>
        <w:pStyle w:val="Compact"/>
      </w:pPr>
      <w:r>
        <w:t xml:space="preserve">✅ 条件加仓：守住11.61元、AI应用多股联动且资金榜恢复净流入后，才可小仓增加。</w:t>
      </w:r>
    </w:p>
    <w:p>
      <w:pPr>
        <w:numPr>
          <w:ilvl w:val="0"/>
          <w:numId w:val="1023"/>
        </w:numPr>
        <w:pStyle w:val="Compact"/>
      </w:pPr>
      <w:r>
        <w:t xml:space="preserve">🚫 失效条件：跌破11.61元并持续走弱，或AI应用与算力同步退潮。</w:t>
      </w:r>
    </w:p>
    <w:p>
      <w:pPr>
        <w:pStyle w:val="Heading3"/>
      </w:pPr>
      <w:bookmarkStart w:id="48" w:name="工商银行6013981900股成本7.0601元"/>
      <w:r>
        <w:t xml:space="preserve">工商银行（601398）｜1900股｜成本7.0601元</w:t>
      </w:r>
      <w:bookmarkEnd w:id="48"/>
    </w:p>
    <w:p>
      <w:pPr>
        <w:numPr>
          <w:ilvl w:val="0"/>
          <w:numId w:val="1024"/>
        </w:numPr>
        <w:pStyle w:val="Compact"/>
      </w:pPr>
      <w:r>
        <w:t xml:space="preserve">📈 收盘7.51元，参考浮盈6.37%，参考浮动盈利854.81元；午后收复7.50元前收，防御属性得到局部验证。</w:t>
      </w:r>
    </w:p>
    <w:p>
      <w:pPr>
        <w:numPr>
          <w:ilvl w:val="0"/>
          <w:numId w:val="1024"/>
        </w:numPr>
        <w:pStyle w:val="Compact"/>
      </w:pPr>
      <w:r>
        <w:t xml:space="preserve">💡 明日动作：稳健持有，不追高；继续作为组合红利底仓。</w:t>
      </w:r>
    </w:p>
    <w:p>
      <w:pPr>
        <w:numPr>
          <w:ilvl w:val="0"/>
          <w:numId w:val="1024"/>
        </w:numPr>
        <w:pStyle w:val="Compact"/>
      </w:pPr>
      <w:r>
        <w:t xml:space="preserve">✅ 条件加仓：回踩7.50元承接有效、银行板块整体强于指数且资金不流出时小幅增加。</w:t>
      </w:r>
    </w:p>
    <w:p>
      <w:pPr>
        <w:numPr>
          <w:ilvl w:val="0"/>
          <w:numId w:val="1024"/>
        </w:numPr>
        <w:pStyle w:val="Compact"/>
      </w:pPr>
      <w:r>
        <w:t xml:space="preserve">🚫 失效条件：跌破7.50元且无法收回，同时国有大行同步走弱。</w:t>
      </w:r>
    </w:p>
    <w:p>
      <w:pPr>
        <w:pStyle w:val="Heading3"/>
      </w:pPr>
      <w:bookmarkStart w:id="49" w:name="农业银行6012885300股成本6.4244元"/>
      <w:r>
        <w:t xml:space="preserve">农业银行（601288）｜5300股｜成本6.4244元</w:t>
      </w:r>
      <w:bookmarkEnd w:id="49"/>
    </w:p>
    <w:p>
      <w:pPr>
        <w:numPr>
          <w:ilvl w:val="0"/>
          <w:numId w:val="1025"/>
        </w:numPr>
        <w:pStyle w:val="Compact"/>
      </w:pPr>
      <w:r>
        <w:t xml:space="preserve">⚠️ 本轮无可确认最新价，盈亏、支撑阻力和当日涨跌均未核验，不沿用旧价或虚构固定价位。</w:t>
      </w:r>
    </w:p>
    <w:p>
      <w:pPr>
        <w:numPr>
          <w:ilvl w:val="0"/>
          <w:numId w:val="1025"/>
        </w:numPr>
        <w:pStyle w:val="Compact"/>
      </w:pPr>
      <w:r>
        <w:t xml:space="preserve">💡 明日动作：持有观察，以券商实时行情、当日开盘价和国有大行联动为准。</w:t>
      </w:r>
    </w:p>
    <w:p>
      <w:pPr>
        <w:numPr>
          <w:ilvl w:val="0"/>
          <w:numId w:val="1025"/>
        </w:numPr>
        <w:pStyle w:val="Compact"/>
      </w:pPr>
      <w:r>
        <w:t xml:space="preserve">✅ 条件加仓：实时价格站稳开盘价、强于上证且银行资金确认净流入后，才可小仓增加。</w:t>
      </w:r>
    </w:p>
    <w:p>
      <w:pPr>
        <w:numPr>
          <w:ilvl w:val="0"/>
          <w:numId w:val="1025"/>
        </w:numPr>
        <w:pStyle w:val="Compact"/>
      </w:pPr>
      <w:r>
        <w:t xml:space="preserve">🚫 失效条件：放量跌破当日开盘价并持续不能收回，同时工商银行与银行板块转弱。</w:t>
      </w:r>
    </w:p>
    <w:p>
      <w:pPr>
        <w:pStyle w:val="Heading3"/>
      </w:pPr>
      <w:bookmarkStart w:id="50" w:name="组合优先级"/>
      <w:r>
        <w:t xml:space="preserve">📌 组合优先级</w:t>
      </w:r>
      <w:bookmarkEnd w:id="50"/>
    </w:p>
    <w:p>
      <w:pPr>
        <w:numPr>
          <w:ilvl w:val="0"/>
          <w:numId w:val="1026"/>
        </w:numPr>
        <w:pStyle w:val="Compact"/>
      </w:pPr>
      <w:r>
        <w:t xml:space="preserve">⚠️ 最该减仓观察：弘元绿能，参考浮亏47.58%，与当日可确认主线共振不足。</w:t>
      </w:r>
    </w:p>
    <w:p>
      <w:pPr>
        <w:numPr>
          <w:ilvl w:val="0"/>
          <w:numId w:val="1026"/>
        </w:numPr>
        <w:pStyle w:val="Compact"/>
      </w:pPr>
      <w:r>
        <w:t xml:space="preserve">🛡️ 最稳健持有：工商银行，参考浮盈6.37%，收盘重新站上前收，适合作为防御底仓。</w:t>
      </w:r>
    </w:p>
    <w:p>
      <w:pPr>
        <w:numPr>
          <w:ilvl w:val="0"/>
          <w:numId w:val="1026"/>
        </w:numPr>
        <w:pStyle w:val="Compact"/>
      </w:pPr>
      <w:r>
        <w:t xml:space="preserve">✅ 满足条件才可加仓：风语筑需守住11.61元并获得AI应用资金共振；农业银行需先取得实时价格和银行板块确认。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1" w:name="数据质量说明"/>
      <w:r>
        <w:t xml:space="preserve">⚠️ 数据质量说明</w:t>
      </w:r>
      <w:bookmarkEnd w:id="51"/>
    </w:p>
    <w:p>
      <w:pPr>
        <w:numPr>
          <w:ilvl w:val="0"/>
          <w:numId w:val="1027"/>
        </w:numPr>
        <w:pStyle w:val="Compact"/>
      </w:pPr>
      <w:r>
        <w:t xml:space="preserve">指数行情：新浪主源，东方财富与腾讯交叉验证，五项指数比较状态均为</w:t>
      </w:r>
      <w:r>
        <w:rPr>
          <w:rStyle w:val="VerbatimChar"/>
        </w:rPr>
        <w:t xml:space="preserve">ok</w:t>
      </w:r>
      <w:r>
        <w:t xml:space="preserve">。</w:t>
      </w:r>
    </w:p>
    <w:p>
      <w:pPr>
        <w:numPr>
          <w:ilvl w:val="0"/>
          <w:numId w:val="1027"/>
        </w:numPr>
        <w:pStyle w:val="Compact"/>
      </w:pPr>
      <w:r>
        <w:t xml:space="preserve">市场宽度与成交额：同花顺完整单源，</w:t>
      </w:r>
      <w:r>
        <w:rPr>
          <w:rStyle w:val="VerbatimChar"/>
        </w:rPr>
        <w:t xml:space="preserve">fact_groups</w:t>
      </w:r>
      <w:r>
        <w:t xml:space="preserve">均为</w:t>
      </w:r>
      <w:r>
        <w:rPr>
          <w:rStyle w:val="VerbatimChar"/>
        </w:rPr>
        <w:t xml:space="preserve">single_source</w:t>
      </w:r>
      <w:r>
        <w:t xml:space="preserve">，可用但未获第二来源交叉验证。</w:t>
      </w:r>
    </w:p>
    <w:p>
      <w:pPr>
        <w:numPr>
          <w:ilvl w:val="0"/>
          <w:numId w:val="1027"/>
        </w:numPr>
        <w:pStyle w:val="Compact"/>
      </w:pPr>
      <w:r>
        <w:t xml:space="preserve">成交额比较：</w:t>
      </w:r>
      <w:r>
        <w:rPr>
          <w:rStyle w:val="VerbatimChar"/>
        </w:rPr>
        <w:t xml:space="preserve">turnover_comparison_scope=unverified</w:t>
      </w:r>
      <w:r>
        <w:t xml:space="preserve">，仅展示当日、昨日和差额原始金额，不使用变化百分比。</w:t>
      </w:r>
    </w:p>
    <w:p>
      <w:pPr>
        <w:numPr>
          <w:ilvl w:val="0"/>
          <w:numId w:val="1027"/>
        </w:numPr>
        <w:pStyle w:val="Compact"/>
      </w:pPr>
      <w:r>
        <w:t xml:space="preserve">关键源覆盖率：3/7，即42.86%；资金流、板块表现、活跃股榜和涨跌停个股样本失败。</w:t>
      </w:r>
    </w:p>
    <w:p>
      <w:pPr>
        <w:numPr>
          <w:ilvl w:val="0"/>
          <w:numId w:val="1027"/>
        </w:numPr>
        <w:pStyle w:val="Compact"/>
      </w:pPr>
      <w:r>
        <w:t xml:space="preserve">华泰数据：作为补充来源；</w:t>
      </w:r>
      <w:r>
        <w:rPr>
          <w:rStyle w:val="VerbatimChar"/>
        </w:rPr>
        <w:t xml:space="preserve">query_indicator</w:t>
      </w:r>
      <w:r>
        <w:t xml:space="preserve">超时，</w:t>
      </w:r>
      <w:r>
        <w:rPr>
          <w:rStyle w:val="VerbatimChar"/>
        </w:rPr>
        <w:t xml:space="preserve">market_insight</w:t>
      </w:r>
      <w:r>
        <w:t xml:space="preserve">用于解释，</w:t>
      </w:r>
      <w:r>
        <w:rPr>
          <w:rStyle w:val="VerbatimChar"/>
        </w:rPr>
        <w:t xml:space="preserve">select_stock</w:t>
      </w:r>
      <w:r>
        <w:t xml:space="preserve">和自选股行情均按单源降置信度处理。</w:t>
      </w:r>
    </w:p>
    <w:p>
      <w:pPr>
        <w:numPr>
          <w:ilvl w:val="0"/>
          <w:numId w:val="1027"/>
        </w:numPr>
        <w:pStyle w:val="Compact"/>
      </w:pPr>
      <w:r>
        <w:t xml:space="preserve">沪深300ETF净申购、真实板块资金流入TOP10/流出TOP10、领涨TOP10和领跌TOP5均未核验，报告没有自行补齐。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生成时间：2026-07-15 15:15（北京时间，Asia/Shanghai）</w:t>
      </w:r>
      <w:r>
        <w:t xml:space="preserve"> </w:t>
      </w:r>
      <w:r>
        <w:t xml:space="preserve">🔮 by：先知 v1.0.3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2026-07-15T07:23:43Z</dcterms:created>
  <dcterms:modified xsi:type="dcterms:W3CDTF">2026-07-15T07:23:43Z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