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14周二"/>
      <w:r>
        <w:t xml:space="preserve">🌅 盘前简报 | 2026-07-14（周二）</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富时A50期指报 14778.84 点，-0.12%；恒生指数上一交易日收于 24175.119 点，+0.16%。中国资产外部信号一稳一弱，未形成明确风险偏好共振。</w:t>
      </w:r>
    </w:p>
    <w:p>
      <w:pPr>
        <w:numPr>
          <w:ilvl w:val="0"/>
          <w:numId w:val="1001"/>
        </w:numPr>
        <w:pStyle w:val="Compact"/>
      </w:pPr>
      <w:r>
        <w:t xml:space="preserve">💱 美元离岸人民币报 6.7854，+0.02%，汇率波动有限。</w:t>
      </w:r>
    </w:p>
    <w:p>
      <w:pPr>
        <w:numPr>
          <w:ilvl w:val="0"/>
          <w:numId w:val="1001"/>
        </w:numPr>
        <w:pStyle w:val="Compact"/>
      </w:pPr>
      <w:r>
        <w:t xml:space="preserve">🛢️ WTI原油报 80.159，+2.58%；COMEX黄金报 4005.24，-0.01%；伦铜报 13478.48，-0.46%。能源强于贵金属和工业金属，油气链具备盘前映射，但需防高开兑现。</w:t>
      </w:r>
    </w:p>
    <w:p>
      <w:pPr>
        <w:numPr>
          <w:ilvl w:val="0"/>
          <w:numId w:val="1001"/>
        </w:numPr>
        <w:pStyle w:val="Compact"/>
      </w:pPr>
      <w:r>
        <w:t xml:space="preserve">⚠️ 采集 JSON 未提供美股三大指数、重点中概股及欧洲股市的结构化行情，本报告不补写未经确认的具体点位与涨跌幅。</w:t>
      </w:r>
    </w:p>
    <w:p>
      <w:pPr>
        <w:numPr>
          <w:ilvl w:val="0"/>
          <w:numId w:val="1001"/>
        </w:numPr>
        <w:pStyle w:val="Compact"/>
      </w:pPr>
      <w:r>
        <w:t xml:space="preserve">🧭 华泰文本所述海外指数、油价涨幅与结构化行情存在口径差异，本报告以新浪结构化数据为准，不采用冲突文本数值。</w:t>
      </w:r>
    </w:p>
    <w:p>
      <w:r>
        <w:pict>
          <v:rect style="width:0;height:1.5pt" o:hralign="center" o:hrstd="t" o:hr="t"/>
        </w:pict>
      </w:r>
    </w:p>
    <w:p>
      <w:pPr>
        <w:pStyle w:val="Heading2"/>
      </w:pPr>
      <w:bookmarkStart w:id="22" w:name="新闻联播政策面"/>
      <w:r>
        <w:t xml:space="preserve">📺 新闻联播政策面</w:t>
      </w:r>
      <w:bookmarkEnd w:id="22"/>
    </w:p>
    <w:p>
      <w:pPr>
        <w:pStyle w:val="Heading3"/>
      </w:pPr>
      <w:bookmarkStart w:id="23" w:name="总体分析"/>
      <w:r>
        <w:t xml:space="preserve">📌 总体分析</w:t>
      </w:r>
      <w:bookmarkEnd w:id="23"/>
    </w:p>
    <w:p>
      <w:pPr>
        <w:numPr>
          <w:ilvl w:val="0"/>
          <w:numId w:val="1002"/>
        </w:numPr>
        <w:pStyle w:val="Compact"/>
      </w:pPr>
      <w:r>
        <w:t xml:space="preserve">当晚最强政策主线是人工智能、国民健康与自然资源资产管理，分别对应算力与国产软硬件、医药医疗、资源数字化与环保监测。</w:t>
      </w:r>
    </w:p>
    <w:p>
      <w:pPr>
        <w:numPr>
          <w:ilvl w:val="0"/>
          <w:numId w:val="1002"/>
        </w:numPr>
        <w:pStyle w:val="Compact"/>
      </w:pPr>
      <w:r>
        <w:t xml:space="preserve">经济形势座谈会、铁路客运和夏粮收购体现稳增长与内需保障，但对 A 股更多是宏观支撑，仍需板块资金确认。</w:t>
      </w:r>
    </w:p>
    <w:p>
      <w:pPr>
        <w:numPr>
          <w:ilvl w:val="0"/>
          <w:numId w:val="1002"/>
        </w:numPr>
        <w:pStyle w:val="Compact"/>
      </w:pPr>
      <w:r>
        <w:t xml:space="preserve">台风应对形成防汛、水利、应急设备的事件驱动机会；美伊冲突则增加油气、航运波动及航空成本风险。</w:t>
      </w:r>
    </w:p>
    <w:p>
      <w:pPr>
        <w:numPr>
          <w:ilvl w:val="0"/>
          <w:numId w:val="1002"/>
        </w:numPr>
        <w:pStyle w:val="Compact"/>
      </w:pPr>
      <w:r>
        <w:t xml:space="preserve">新闻催化不能替代盘面验证：优先观察成交扩散、板块联动和核心股承接，单票脉冲不升级为主线。</w:t>
      </w:r>
    </w:p>
    <w:p>
      <w:pPr>
        <w:pStyle w:val="Heading3"/>
      </w:pPr>
      <w:bookmarkStart w:id="24" w:name="逐条新闻解读"/>
      <w:r>
        <w:t xml:space="preserve">📰 逐条新闻解读</w:t>
      </w:r>
      <w:bookmarkEnd w:id="24"/>
    </w:p>
    <w:p>
      <w:pPr>
        <w:pStyle w:val="Heading4"/>
      </w:pPr>
      <w:bookmarkStart w:id="25" w:name="X7bee346608afecadb28ac45e8131c1b130ea4c9"/>
      <w:r>
        <w:t xml:space="preserve">习近平将出席2026世界人工智能大会暨人工智能全球治理高级别会议开幕式并发表主旨讲话</w:t>
      </w:r>
      <w:bookmarkEnd w:id="25"/>
    </w:p>
    <w:p>
      <w:pPr>
        <w:numPr>
          <w:ilvl w:val="0"/>
          <w:numId w:val="1003"/>
        </w:numPr>
        <w:pStyle w:val="Compact"/>
      </w:pPr>
      <w:r>
        <w:t xml:space="preserve">A股影响：利好</w:t>
      </w:r>
    </w:p>
    <w:p>
      <w:pPr>
        <w:numPr>
          <w:ilvl w:val="0"/>
          <w:numId w:val="1003"/>
        </w:numPr>
        <w:pStyle w:val="Compact"/>
      </w:pPr>
      <w:r>
        <w:t xml:space="preserve">相关板块：人工智能、算力、国产软件、数据要素</w:t>
      </w:r>
    </w:p>
    <w:p>
      <w:pPr>
        <w:numPr>
          <w:ilvl w:val="0"/>
          <w:numId w:val="1003"/>
        </w:numPr>
        <w:pStyle w:val="Compact"/>
      </w:pPr>
      <w:r>
        <w:t xml:space="preserve">核心解读：高规格大会提升人工智能产业与治理议题关注度，利于自主可控和应用落地方向。</w:t>
      </w:r>
    </w:p>
    <w:p>
      <w:pPr>
        <w:numPr>
          <w:ilvl w:val="0"/>
          <w:numId w:val="1003"/>
        </w:numPr>
        <w:pStyle w:val="Compact"/>
      </w:pPr>
      <w:r>
        <w:t xml:space="preserve">验证条件：AI 板块放量、算力与软件同步走强且核心股获得资金承接。</w:t>
      </w:r>
    </w:p>
    <w:p>
      <w:pPr>
        <w:pStyle w:val="Heading4"/>
      </w:pPr>
      <w:bookmarkStart w:id="26" w:name="新思想引领新征程人工智能蓬勃兴起-锻造高质量发展新引擎"/>
      <w:r>
        <w:t xml:space="preserve">【新思想引领新征程】人工智能蓬勃兴起 锻造高质量发展新引擎</w:t>
      </w:r>
      <w:bookmarkEnd w:id="26"/>
    </w:p>
    <w:p>
      <w:pPr>
        <w:numPr>
          <w:ilvl w:val="0"/>
          <w:numId w:val="1004"/>
        </w:numPr>
        <w:pStyle w:val="Compact"/>
      </w:pPr>
      <w:r>
        <w:t xml:space="preserve">A股影响：利好</w:t>
      </w:r>
    </w:p>
    <w:p>
      <w:pPr>
        <w:numPr>
          <w:ilvl w:val="0"/>
          <w:numId w:val="1004"/>
        </w:numPr>
        <w:pStyle w:val="Compact"/>
      </w:pPr>
      <w:r>
        <w:t xml:space="preserve">相关板块：AI应用、算力基础设施、工业智能、机器人</w:t>
      </w:r>
    </w:p>
    <w:p>
      <w:pPr>
        <w:numPr>
          <w:ilvl w:val="0"/>
          <w:numId w:val="1004"/>
        </w:numPr>
        <w:pStyle w:val="Compact"/>
      </w:pPr>
      <w:r>
        <w:t xml:space="preserve">核心解读：强调人工智能对高质量发展的产业价值，强化从基础设施到行业应用的中期政策预期。</w:t>
      </w:r>
    </w:p>
    <w:p>
      <w:pPr>
        <w:numPr>
          <w:ilvl w:val="0"/>
          <w:numId w:val="1004"/>
        </w:numPr>
        <w:pStyle w:val="Compact"/>
      </w:pPr>
      <w:r>
        <w:t xml:space="preserve">验证条件：应用端与硬件端形成联动，而不是少数高位个股脉冲。</w:t>
      </w:r>
    </w:p>
    <w:p>
      <w:pPr>
        <w:pStyle w:val="Heading4"/>
      </w:pPr>
      <w:bookmarkStart w:id="27" w:name="李强主持召开经济形势专家和企业家座谈会"/>
      <w:r>
        <w:t xml:space="preserve">李强主持召开经济形势专家和企业家座谈会</w:t>
      </w:r>
      <w:bookmarkEnd w:id="27"/>
    </w:p>
    <w:p>
      <w:pPr>
        <w:numPr>
          <w:ilvl w:val="0"/>
          <w:numId w:val="1005"/>
        </w:numPr>
        <w:pStyle w:val="Compact"/>
      </w:pPr>
      <w:r>
        <w:t xml:space="preserve">A股影响：偏利好</w:t>
      </w:r>
    </w:p>
    <w:p>
      <w:pPr>
        <w:numPr>
          <w:ilvl w:val="0"/>
          <w:numId w:val="1005"/>
        </w:numPr>
        <w:pStyle w:val="Compact"/>
      </w:pPr>
      <w:r>
        <w:t xml:space="preserve">相关板块：大消费、先进制造、民营经济</w:t>
      </w:r>
    </w:p>
    <w:p>
      <w:pPr>
        <w:numPr>
          <w:ilvl w:val="0"/>
          <w:numId w:val="1005"/>
        </w:numPr>
        <w:pStyle w:val="Compact"/>
      </w:pPr>
      <w:r>
        <w:t xml:space="preserve">核心解读：释放稳增长和重视企业预期的宏观信号，但具体受益方向取决于后续政策工具。</w:t>
      </w:r>
    </w:p>
    <w:p>
      <w:pPr>
        <w:numPr>
          <w:ilvl w:val="0"/>
          <w:numId w:val="1005"/>
        </w:numPr>
        <w:pStyle w:val="Compact"/>
      </w:pPr>
      <w:r>
        <w:t xml:space="preserve">验证条件：权重指数企稳、消费与制造板块出现持续资金流入。</w:t>
      </w:r>
    </w:p>
    <w:p>
      <w:pPr>
        <w:pStyle w:val="Heading4"/>
      </w:pPr>
      <w:bookmarkStart w:id="28" w:name="王沪宁会见第十一届世界华侨华人社团联谊大会全体代表"/>
      <w:r>
        <w:t xml:space="preserve">王沪宁会见第十一届世界华侨华人社团联谊大会全体代表</w:t>
      </w:r>
      <w:bookmarkEnd w:id="28"/>
    </w:p>
    <w:p>
      <w:pPr>
        <w:numPr>
          <w:ilvl w:val="0"/>
          <w:numId w:val="1006"/>
        </w:numPr>
        <w:pStyle w:val="Compact"/>
      </w:pPr>
      <w:r>
        <w:t xml:space="preserve">A股影响：中性</w:t>
      </w:r>
    </w:p>
    <w:p>
      <w:pPr>
        <w:numPr>
          <w:ilvl w:val="0"/>
          <w:numId w:val="1006"/>
        </w:numPr>
        <w:pStyle w:val="Compact"/>
      </w:pPr>
      <w:r>
        <w:t xml:space="preserve">相关板块：无直接映射</w:t>
      </w:r>
    </w:p>
    <w:p>
      <w:pPr>
        <w:numPr>
          <w:ilvl w:val="0"/>
          <w:numId w:val="1006"/>
        </w:numPr>
        <w:pStyle w:val="Compact"/>
      </w:pPr>
      <w:r>
        <w:t xml:space="preserve">核心解读：以交流合作和凝聚侨界力量为主，对 A 股暂无明确产业增量。</w:t>
      </w:r>
    </w:p>
    <w:p>
      <w:pPr>
        <w:numPr>
          <w:ilvl w:val="0"/>
          <w:numId w:val="1006"/>
        </w:numPr>
        <w:pStyle w:val="Compact"/>
      </w:pPr>
      <w:r>
        <w:t xml:space="preserve">验证条件：若后续出现具体跨境投资或区域合作政策，再评估相关方向。</w:t>
      </w:r>
    </w:p>
    <w:p>
      <w:pPr>
        <w:pStyle w:val="Heading4"/>
      </w:pPr>
      <w:bookmarkStart w:id="29" w:name="国务院印发国民健康十五五规划"/>
      <w:r>
        <w:t xml:space="preserve">国务院印发《国民健康</w:t>
      </w:r>
      <w:r>
        <w:t xml:space="preserve">“</w:t>
      </w:r>
      <w:r>
        <w:t xml:space="preserve">十五五</w:t>
      </w:r>
      <w:r>
        <w:t xml:space="preserve">”</w:t>
      </w:r>
      <w:r>
        <w:t xml:space="preserve">规划》</w:t>
      </w:r>
      <w:bookmarkEnd w:id="29"/>
    </w:p>
    <w:p>
      <w:pPr>
        <w:numPr>
          <w:ilvl w:val="0"/>
          <w:numId w:val="1007"/>
        </w:numPr>
        <w:pStyle w:val="Compact"/>
      </w:pPr>
      <w:r>
        <w:t xml:space="preserve">A股影响：利好</w:t>
      </w:r>
    </w:p>
    <w:p>
      <w:pPr>
        <w:numPr>
          <w:ilvl w:val="0"/>
          <w:numId w:val="1007"/>
        </w:numPr>
        <w:pStyle w:val="Compact"/>
      </w:pPr>
      <w:r>
        <w:t xml:space="preserve">相关板块：创新药、医疗服务、医疗器械、中医药</w:t>
      </w:r>
    </w:p>
    <w:p>
      <w:pPr>
        <w:numPr>
          <w:ilvl w:val="0"/>
          <w:numId w:val="1007"/>
        </w:numPr>
        <w:pStyle w:val="Compact"/>
      </w:pPr>
      <w:r>
        <w:t xml:space="preserve">核心解读：国家级中长期规划有利于健康产业扩容和医疗供给升级，政策持续性强于短期事件催化。</w:t>
      </w:r>
    </w:p>
    <w:p>
      <w:pPr>
        <w:numPr>
          <w:ilvl w:val="0"/>
          <w:numId w:val="1007"/>
        </w:numPr>
        <w:pStyle w:val="Compact"/>
      </w:pPr>
      <w:r>
        <w:t xml:space="preserve">验证条件：医药板块成交扩张，创新药与医疗服务核心股同步获得资金承接。</w:t>
      </w:r>
    </w:p>
    <w:p>
      <w:pPr>
        <w:pStyle w:val="Heading4"/>
      </w:pPr>
      <w:bookmarkStart w:id="30" w:name="中共中央办公厅-国务院办公厅印发关于完善自然资源资产管理制度体系的意见"/>
      <w:r>
        <w:t xml:space="preserve">中共中央办公厅 国务院办公厅印发《关于完善自然资源资产管理制度体系的意见》</w:t>
      </w:r>
      <w:bookmarkEnd w:id="30"/>
    </w:p>
    <w:p>
      <w:pPr>
        <w:numPr>
          <w:ilvl w:val="0"/>
          <w:numId w:val="1008"/>
        </w:numPr>
        <w:pStyle w:val="Compact"/>
      </w:pPr>
      <w:r>
        <w:t xml:space="preserve">A股影响：偏利好</w:t>
      </w:r>
    </w:p>
    <w:p>
      <w:pPr>
        <w:numPr>
          <w:ilvl w:val="0"/>
          <w:numId w:val="1008"/>
        </w:numPr>
        <w:pStyle w:val="Compact"/>
      </w:pPr>
      <w:r>
        <w:t xml:space="preserve">相关板块：自然资源信息化、环保监测、地理信息、资产评估</w:t>
      </w:r>
    </w:p>
    <w:p>
      <w:pPr>
        <w:numPr>
          <w:ilvl w:val="0"/>
          <w:numId w:val="1008"/>
        </w:numPr>
        <w:pStyle w:val="Compact"/>
      </w:pPr>
      <w:r>
        <w:t xml:space="preserve">核心解读：制度完善可能增加资源确权、监管数字化和生态价值核算需求，偏中长期主题。</w:t>
      </w:r>
    </w:p>
    <w:p>
      <w:pPr>
        <w:numPr>
          <w:ilvl w:val="0"/>
          <w:numId w:val="1008"/>
        </w:numPr>
        <w:pStyle w:val="Compact"/>
      </w:pPr>
      <w:r>
        <w:t xml:space="preserve">验证条件：地理信息与环保监测出现板块级联动，并有订单或政策细则验证。</w:t>
      </w:r>
    </w:p>
    <w:p>
      <w:pPr>
        <w:pStyle w:val="Heading4"/>
      </w:pPr>
      <w:bookmarkStart w:id="31" w:name="台风巴威北上-各地各部门全力应对"/>
      <w:r>
        <w:t xml:space="preserve">台风</w:t>
      </w:r>
      <w:r>
        <w:t xml:space="preserve">“</w:t>
      </w:r>
      <w:r>
        <w:t xml:space="preserve">巴威</w:t>
      </w:r>
      <w:r>
        <w:t xml:space="preserve">”</w:t>
      </w:r>
      <w:r>
        <w:t xml:space="preserve">北上 各地各部门全力应对</w:t>
      </w:r>
      <w:bookmarkEnd w:id="31"/>
    </w:p>
    <w:p>
      <w:pPr>
        <w:numPr>
          <w:ilvl w:val="0"/>
          <w:numId w:val="1009"/>
        </w:numPr>
        <w:pStyle w:val="Compact"/>
      </w:pPr>
      <w:r>
        <w:t xml:space="preserve">A股影响：偏利好</w:t>
      </w:r>
    </w:p>
    <w:p>
      <w:pPr>
        <w:numPr>
          <w:ilvl w:val="0"/>
          <w:numId w:val="1009"/>
        </w:numPr>
        <w:pStyle w:val="Compact"/>
      </w:pPr>
      <w:r>
        <w:t xml:space="preserve">相关板块：水利建设、防汛设备、应急通信、电网运维</w:t>
      </w:r>
    </w:p>
    <w:p>
      <w:pPr>
        <w:numPr>
          <w:ilvl w:val="0"/>
          <w:numId w:val="1009"/>
        </w:numPr>
        <w:pStyle w:val="Compact"/>
      </w:pPr>
      <w:r>
        <w:t xml:space="preserve">核心解读：台风形成现实事件驱动，防灾减灾和抢险修复方向可能获得短线关注。</w:t>
      </w:r>
    </w:p>
    <w:p>
      <w:pPr>
        <w:numPr>
          <w:ilvl w:val="0"/>
          <w:numId w:val="1009"/>
        </w:numPr>
        <w:pStyle w:val="Compact"/>
      </w:pPr>
      <w:r>
        <w:t xml:space="preserve">验证条件：相关板块放量且多只核心股联动；灾情减弱或高开低走则催化失效。</w:t>
      </w:r>
    </w:p>
    <w:p>
      <w:pPr>
        <w:pStyle w:val="Heading4"/>
      </w:pPr>
      <w:bookmarkStart w:id="32" w:name="党旗在基层一线高高飘扬无惧急流-紧急转移被困群众"/>
      <w:r>
        <w:t xml:space="preserve">【党旗在基层一线高高飘扬】无惧急流 紧急转移被困群众</w:t>
      </w:r>
      <w:bookmarkEnd w:id="32"/>
    </w:p>
    <w:p>
      <w:pPr>
        <w:numPr>
          <w:ilvl w:val="0"/>
          <w:numId w:val="1010"/>
        </w:numPr>
        <w:pStyle w:val="Compact"/>
      </w:pPr>
      <w:r>
        <w:t xml:space="preserve">A股影响：中性</w:t>
      </w:r>
    </w:p>
    <w:p>
      <w:pPr>
        <w:numPr>
          <w:ilvl w:val="0"/>
          <w:numId w:val="1010"/>
        </w:numPr>
        <w:pStyle w:val="Compact"/>
      </w:pPr>
      <w:r>
        <w:t xml:space="preserve">相关板块：应急救援、特种装备</w:t>
      </w:r>
    </w:p>
    <w:p>
      <w:pPr>
        <w:numPr>
          <w:ilvl w:val="0"/>
          <w:numId w:val="1010"/>
        </w:numPr>
        <w:pStyle w:val="Compact"/>
      </w:pPr>
      <w:r>
        <w:t xml:space="preserve">核心解读：报道强化防汛救援关注度，但本身不构成新增产业政策。</w:t>
      </w:r>
    </w:p>
    <w:p>
      <w:pPr>
        <w:numPr>
          <w:ilvl w:val="0"/>
          <w:numId w:val="1010"/>
        </w:numPr>
        <w:pStyle w:val="Compact"/>
      </w:pPr>
      <w:r>
        <w:t xml:space="preserve">验证条件：需与明确采购、灾后重建或防汛政策共同验证。</w:t>
      </w:r>
    </w:p>
    <w:p>
      <w:pPr>
        <w:pStyle w:val="Heading4"/>
      </w:pPr>
      <w:bookmarkStart w:id="33" w:name="上半年铁路客运多项指标创新高-激发消费潜能"/>
      <w:r>
        <w:t xml:space="preserve">上半年铁路客运多项指标创新高 激发消费潜能</w:t>
      </w:r>
      <w:bookmarkEnd w:id="33"/>
    </w:p>
    <w:p>
      <w:pPr>
        <w:numPr>
          <w:ilvl w:val="0"/>
          <w:numId w:val="1011"/>
        </w:numPr>
        <w:pStyle w:val="Compact"/>
      </w:pPr>
      <w:r>
        <w:t xml:space="preserve">A股影响：偏利好</w:t>
      </w:r>
    </w:p>
    <w:p>
      <w:pPr>
        <w:numPr>
          <w:ilvl w:val="0"/>
          <w:numId w:val="1011"/>
        </w:numPr>
        <w:pStyle w:val="Compact"/>
      </w:pPr>
      <w:r>
        <w:t xml:space="preserve">相关板块：铁路运输、旅游酒店、轨交设备、出行服务</w:t>
      </w:r>
    </w:p>
    <w:p>
      <w:pPr>
        <w:numPr>
          <w:ilvl w:val="0"/>
          <w:numId w:val="1011"/>
        </w:numPr>
        <w:pStyle w:val="Compact"/>
      </w:pPr>
      <w:r>
        <w:t xml:space="preserve">核心解读：客运增长反映出行需求和服务消费韧性，对交运与旅游链构成景气支撑。</w:t>
      </w:r>
    </w:p>
    <w:p>
      <w:pPr>
        <w:numPr>
          <w:ilvl w:val="0"/>
          <w:numId w:val="1011"/>
        </w:numPr>
        <w:pStyle w:val="Compact"/>
      </w:pPr>
      <w:r>
        <w:t xml:space="preserve">验证条件：暑运数据延续，交运旅游板块成交和盈利预期同步改善。</w:t>
      </w:r>
    </w:p>
    <w:p>
      <w:pPr>
        <w:pStyle w:val="Heading4"/>
      </w:pPr>
      <w:bookmarkStart w:id="34" w:name="金融多向发力-确保夏粮收购平稳有序"/>
      <w:r>
        <w:t xml:space="preserve">金融多向发力 确保夏粮收购平稳有序</w:t>
      </w:r>
      <w:bookmarkEnd w:id="34"/>
    </w:p>
    <w:p>
      <w:pPr>
        <w:numPr>
          <w:ilvl w:val="0"/>
          <w:numId w:val="1012"/>
        </w:numPr>
        <w:pStyle w:val="Compact"/>
      </w:pPr>
      <w:r>
        <w:t xml:space="preserve">A股影响：偏利好</w:t>
      </w:r>
    </w:p>
    <w:p>
      <w:pPr>
        <w:numPr>
          <w:ilvl w:val="0"/>
          <w:numId w:val="1012"/>
        </w:numPr>
        <w:pStyle w:val="Compact"/>
      </w:pPr>
      <w:r>
        <w:t xml:space="preserve">相关板块：种植业、粮食仓储、农业供应链、农村金融</w:t>
      </w:r>
    </w:p>
    <w:p>
      <w:pPr>
        <w:numPr>
          <w:ilvl w:val="0"/>
          <w:numId w:val="1012"/>
        </w:numPr>
        <w:pStyle w:val="Compact"/>
      </w:pPr>
      <w:r>
        <w:t xml:space="preserve">核心解读：金融支持有利于稳定粮食收购和农业经营现金流，主要体现为政策托底。</w:t>
      </w:r>
    </w:p>
    <w:p>
      <w:pPr>
        <w:numPr>
          <w:ilvl w:val="0"/>
          <w:numId w:val="1012"/>
        </w:numPr>
        <w:pStyle w:val="Compact"/>
      </w:pPr>
      <w:r>
        <w:t xml:space="preserve">验证条件：农业板块获得持续资金而非季节性单日异动。</w:t>
      </w:r>
    </w:p>
    <w:p>
      <w:pPr>
        <w:pStyle w:val="Heading4"/>
      </w:pPr>
      <w:bookmarkStart w:id="35" w:name="七一勋章获得者陈俊武许国七十载-志为石化梦"/>
      <w:r>
        <w:t xml:space="preserve">“</w:t>
      </w:r>
      <w:r>
        <w:t xml:space="preserve">七一勋章</w:t>
      </w:r>
      <w:r>
        <w:t xml:space="preserve">”</w:t>
      </w:r>
      <w:r>
        <w:t xml:space="preserve">获得者陈俊武：许国七十载 志为石化梦</w:t>
      </w:r>
      <w:bookmarkEnd w:id="35"/>
    </w:p>
    <w:p>
      <w:pPr>
        <w:numPr>
          <w:ilvl w:val="0"/>
          <w:numId w:val="1013"/>
        </w:numPr>
        <w:pStyle w:val="Compact"/>
      </w:pPr>
      <w:r>
        <w:t xml:space="preserve">A股影响：中性</w:t>
      </w:r>
    </w:p>
    <w:p>
      <w:pPr>
        <w:numPr>
          <w:ilvl w:val="0"/>
          <w:numId w:val="1013"/>
        </w:numPr>
        <w:pStyle w:val="Compact"/>
      </w:pPr>
      <w:r>
        <w:t xml:space="preserve">相关板块：石油化工</w:t>
      </w:r>
    </w:p>
    <w:p>
      <w:pPr>
        <w:numPr>
          <w:ilvl w:val="0"/>
          <w:numId w:val="1013"/>
        </w:numPr>
        <w:pStyle w:val="Compact"/>
      </w:pPr>
      <w:r>
        <w:t xml:space="preserve">核心解读：人物报道提升石化产业关注度，但不构成新的供需或盈利催化。</w:t>
      </w:r>
    </w:p>
    <w:p>
      <w:pPr>
        <w:numPr>
          <w:ilvl w:val="0"/>
          <w:numId w:val="1013"/>
        </w:numPr>
        <w:pStyle w:val="Compact"/>
      </w:pPr>
      <w:r>
        <w:t xml:space="preserve">验证条件：油价、炼化价差和行业资金出现独立改善后再评估。</w:t>
      </w:r>
    </w:p>
    <w:p>
      <w:pPr>
        <w:pStyle w:val="Heading4"/>
      </w:pPr>
      <w:bookmarkStart w:id="36" w:name="国内联播快讯"/>
      <w:r>
        <w:t xml:space="preserve">国内联播快讯</w:t>
      </w:r>
      <w:bookmarkEnd w:id="36"/>
    </w:p>
    <w:p>
      <w:pPr>
        <w:numPr>
          <w:ilvl w:val="0"/>
          <w:numId w:val="1014"/>
        </w:numPr>
        <w:pStyle w:val="Compact"/>
      </w:pPr>
      <w:r>
        <w:t xml:space="preserve">A股影响：中性</w:t>
      </w:r>
    </w:p>
    <w:p>
      <w:pPr>
        <w:numPr>
          <w:ilvl w:val="0"/>
          <w:numId w:val="1014"/>
        </w:numPr>
        <w:pStyle w:val="Compact"/>
      </w:pPr>
      <w:r>
        <w:t xml:space="preserve">相关板块：无单一映射</w:t>
      </w:r>
    </w:p>
    <w:p>
      <w:pPr>
        <w:numPr>
          <w:ilvl w:val="0"/>
          <w:numId w:val="1014"/>
        </w:numPr>
        <w:pStyle w:val="Compact"/>
      </w:pPr>
      <w:r>
        <w:t xml:space="preserve">核心解读：快讯包含多项不同领域信息，不能在缺少单项展开时归结为确定板块利好。</w:t>
      </w:r>
    </w:p>
    <w:p>
      <w:pPr>
        <w:numPr>
          <w:ilvl w:val="0"/>
          <w:numId w:val="1014"/>
        </w:numPr>
        <w:pStyle w:val="Compact"/>
      </w:pPr>
      <w:r>
        <w:t xml:space="preserve">验证条件：仅对后续获得权威细则和盘面共振的单项事件做升级。</w:t>
      </w:r>
    </w:p>
    <w:p>
      <w:pPr>
        <w:pStyle w:val="Heading4"/>
      </w:pPr>
      <w:bookmarkStart w:id="37" w:name="美军称打击伊朗防空系统-伊朗称打击美军基地设施"/>
      <w:r>
        <w:t xml:space="preserve">美军称打击伊朗防空系统 伊朗称打击美军基地设施</w:t>
      </w:r>
      <w:bookmarkEnd w:id="37"/>
    </w:p>
    <w:p>
      <w:pPr>
        <w:numPr>
          <w:ilvl w:val="0"/>
          <w:numId w:val="1015"/>
        </w:numPr>
        <w:pStyle w:val="Compact"/>
      </w:pPr>
      <w:r>
        <w:t xml:space="preserve">A股影响：结构性影响</w:t>
      </w:r>
    </w:p>
    <w:p>
      <w:pPr>
        <w:numPr>
          <w:ilvl w:val="0"/>
          <w:numId w:val="1015"/>
        </w:numPr>
        <w:pStyle w:val="Compact"/>
      </w:pPr>
      <w:r>
        <w:t xml:space="preserve">相关板块：油气开采、油运、军工；航空运输偏利空</w:t>
      </w:r>
    </w:p>
    <w:p>
      <w:pPr>
        <w:numPr>
          <w:ilvl w:val="0"/>
          <w:numId w:val="1015"/>
        </w:numPr>
        <w:pStyle w:val="Compact"/>
      </w:pPr>
      <w:r>
        <w:t xml:space="preserve">核心解读：地缘冲突抬升能源供应与风险溢价，利好油气和避险交易，但可能推高航空燃油成本。</w:t>
      </w:r>
    </w:p>
    <w:p>
      <w:pPr>
        <w:numPr>
          <w:ilvl w:val="0"/>
          <w:numId w:val="1015"/>
        </w:numPr>
        <w:pStyle w:val="Compact"/>
      </w:pPr>
      <w:r>
        <w:t xml:space="preserve">验证条件：国际油价与航运价格同步走强；若冲突缓和或油价回落则逻辑减弱。</w:t>
      </w:r>
    </w:p>
    <w:p>
      <w:pPr>
        <w:pStyle w:val="Heading4"/>
      </w:pPr>
      <w:bookmarkStart w:id="38" w:name="国际联播快讯"/>
      <w:r>
        <w:t xml:space="preserve">国际联播快讯</w:t>
      </w:r>
      <w:bookmarkEnd w:id="38"/>
    </w:p>
    <w:p>
      <w:pPr>
        <w:numPr>
          <w:ilvl w:val="0"/>
          <w:numId w:val="1016"/>
        </w:numPr>
        <w:pStyle w:val="Compact"/>
      </w:pPr>
      <w:r>
        <w:t xml:space="preserve">A股影响：中性</w:t>
      </w:r>
    </w:p>
    <w:p>
      <w:pPr>
        <w:numPr>
          <w:ilvl w:val="0"/>
          <w:numId w:val="1016"/>
        </w:numPr>
        <w:pStyle w:val="Compact"/>
      </w:pPr>
      <w:r>
        <w:t xml:space="preserve">相关板块：无单一映射</w:t>
      </w:r>
    </w:p>
    <w:p>
      <w:pPr>
        <w:numPr>
          <w:ilvl w:val="0"/>
          <w:numId w:val="1016"/>
        </w:numPr>
        <w:pStyle w:val="Compact"/>
      </w:pPr>
      <w:r>
        <w:t xml:space="preserve">核心解读：综合性国际快讯缺少统一产业方向，不宜直接形成交易结论。</w:t>
      </w:r>
    </w:p>
    <w:p>
      <w:pPr>
        <w:numPr>
          <w:ilvl w:val="0"/>
          <w:numId w:val="1016"/>
        </w:numPr>
        <w:pStyle w:val="Compact"/>
      </w:pPr>
      <w:r>
        <w:t xml:space="preserve">验证条件：等待具体事件通过汇率、商品或海外市场传导至 A 股。</w:t>
      </w:r>
    </w:p>
    <w:p>
      <w:r>
        <w:pict>
          <v:rect style="width:0;height:1.5pt" o:hralign="center" o:hrstd="t" o:hr="t"/>
        </w:pict>
      </w:r>
    </w:p>
    <w:p>
      <w:pPr>
        <w:pStyle w:val="Heading2"/>
      </w:pPr>
      <w:bookmarkStart w:id="39" w:name="今日重要公告"/>
      <w:r>
        <w:t xml:space="preserve">📋 今日重要公告</w:t>
      </w:r>
      <w:bookmarkEnd w:id="39"/>
    </w:p>
    <w:p>
      <w:pPr>
        <w:numPr>
          <w:ilvl w:val="0"/>
          <w:numId w:val="1017"/>
        </w:numPr>
        <w:pStyle w:val="Compact"/>
      </w:pPr>
      <w:r>
        <w:t xml:space="preserve">🧩 世茂能源（605028）同时披露2026年半年度业绩预告、控股股东拟协议转让部分股份及权益变动报告，事件密集但公告正文中的盈利数值和转让条款未在采集 JSON 展开，开盘只观察定价反馈。</w:t>
      </w:r>
    </w:p>
    <w:p>
      <w:pPr>
        <w:numPr>
          <w:ilvl w:val="0"/>
          <w:numId w:val="1017"/>
        </w:numPr>
        <w:pStyle w:val="Compact"/>
      </w:pPr>
      <w:r>
        <w:t xml:space="preserve">🔄 恒尚节能（603137）披露重大资产购买预案问询回复及修订稿，交易仍处信息披露与市场验证阶段，不直接等同于重组完成。</w:t>
      </w:r>
    </w:p>
    <w:p>
      <w:pPr>
        <w:numPr>
          <w:ilvl w:val="0"/>
          <w:numId w:val="1017"/>
        </w:numPr>
        <w:pStyle w:val="Compact"/>
      </w:pPr>
      <w:r>
        <w:t xml:space="preserve">📌 立新能源（001258）公告涉及增发预案、董事离任补选及董事会决议，需区分融资事项与人事变动，避免仅凭公告标签追涨。</w:t>
      </w:r>
    </w:p>
    <w:p>
      <w:pPr>
        <w:numPr>
          <w:ilvl w:val="0"/>
          <w:numId w:val="1017"/>
        </w:numPr>
        <w:pStyle w:val="Compact"/>
      </w:pPr>
      <w:r>
        <w:t xml:space="preserve">⚠️ 鞍钢股份（000898）披露2026年半年度业绩预告；采集 JSON 未提供具体盈利区间，钢铁链应等待公告正文和股价反馈后判断。</w:t>
      </w:r>
    </w:p>
    <w:p>
      <w:pPr>
        <w:numPr>
          <w:ilvl w:val="0"/>
          <w:numId w:val="1017"/>
        </w:numPr>
        <w:pStyle w:val="Compact"/>
      </w:pPr>
      <w:r>
        <w:t xml:space="preserve">📉 天元股份（003003）披露股东减持计划期限届满及实施情况；上海谊众（688091）披露回购事项前十大股东持股情况，二者均不宜脱离公告细节形成强方向判断。</w:t>
      </w:r>
    </w:p>
    <w:p>
      <w:r>
        <w:pict>
          <v:rect style="width:0;height:1.5pt" o:hralign="center" o:hrstd="t" o:hr="t"/>
        </w:pict>
      </w:r>
    </w:p>
    <w:p>
      <w:pPr>
        <w:pStyle w:val="Heading2"/>
      </w:pPr>
      <w:bookmarkStart w:id="40" w:name="今日经济数据与事件"/>
      <w:r>
        <w:t xml:space="preserve">📅 今日经济数据与事件</w:t>
      </w:r>
      <w:bookmarkEnd w:id="40"/>
    </w:p>
    <w:p>
      <w:pPr>
        <w:numPr>
          <w:ilvl w:val="0"/>
          <w:numId w:val="1018"/>
        </w:numPr>
        <w:pStyle w:val="Compact"/>
      </w:pPr>
      <w:r>
        <w:t xml:space="preserve">⚠️ 采集 JSON 未提供今日国内GDP、CPI、PPI、社融、M2、央行公开市场操作的权威日程及数值，均标记为未核验。</w:t>
      </w:r>
    </w:p>
    <w:p>
      <w:pPr>
        <w:numPr>
          <w:ilvl w:val="0"/>
          <w:numId w:val="1018"/>
        </w:numPr>
        <w:pStyle w:val="Compact"/>
      </w:pPr>
      <w:r>
        <w:t xml:space="preserve">🌍 华泰文本提示晚间关注美国6月CPI，但发布时间、预期值和前值未由本轮结构化数据确认，仅作风险日历提醒，不写具体数值。</w:t>
      </w:r>
    </w:p>
    <w:p>
      <w:pPr>
        <w:numPr>
          <w:ilvl w:val="0"/>
          <w:numId w:val="1018"/>
        </w:numPr>
        <w:pStyle w:val="Compact"/>
      </w:pPr>
      <w:r>
        <w:t xml:space="preserve">💡 若重要数据公布前市场缩量，避免提前押注；数据落地后重点观察人民币、原油及成长/红利风格是否出现同步变化。</w:t>
      </w:r>
    </w:p>
    <w:p>
      <w:r>
        <w:pict>
          <v:rect style="width:0;height:1.5pt" o:hralign="center" o:hrstd="t" o:hr="t"/>
        </w:pict>
      </w:r>
    </w:p>
    <w:p>
      <w:pPr>
        <w:pStyle w:val="Heading2"/>
      </w:pPr>
      <w:bookmarkStart w:id="41" w:name="全球重要事件"/>
      <w:r>
        <w:t xml:space="preserve">🌍 全球重要事件</w:t>
      </w:r>
      <w:bookmarkEnd w:id="41"/>
    </w:p>
    <w:p>
      <w:pPr>
        <w:numPr>
          <w:ilvl w:val="0"/>
          <w:numId w:val="1019"/>
        </w:numPr>
        <w:pStyle w:val="Compact"/>
      </w:pPr>
      <w:r>
        <w:t xml:space="preserve">🛢️ 已确认的外部强信号是WTI原油上涨2.58%，可映射油气开采、油服、炼化和能源运输，但必须用A股板块资金与成交确认。</w:t>
      </w:r>
    </w:p>
    <w:p>
      <w:pPr>
        <w:numPr>
          <w:ilvl w:val="0"/>
          <w:numId w:val="1019"/>
        </w:numPr>
        <w:pStyle w:val="Compact"/>
      </w:pPr>
      <w:r>
        <w:t xml:space="preserve">⚠️ 华泰文本提到中东局势和海外流动性风险，但本轮没有独立事件原文，报告不扩写冲突进展，仅把油价作为可验证的市场结果。</w:t>
      </w:r>
    </w:p>
    <w:p>
      <w:pPr>
        <w:numPr>
          <w:ilvl w:val="0"/>
          <w:numId w:val="1019"/>
        </w:numPr>
        <w:pStyle w:val="Compact"/>
      </w:pPr>
      <w:r>
        <w:t xml:space="preserve">📉 伦铜下跌0.46%、黄金下跌0.01%，商品未形成全面避险或周期共振；有色金属不因油价上涨而自动升级。</w:t>
      </w:r>
    </w:p>
    <w:p>
      <w:r>
        <w:pict>
          <v:rect style="width:0;height:1.5pt" o:hralign="center" o:hrstd="t" o:hr="t"/>
        </w:pict>
      </w:r>
    </w:p>
    <w:p>
      <w:pPr>
        <w:pStyle w:val="Heading2"/>
      </w:pPr>
      <w:bookmarkStart w:id="42" w:name="昨日复盘要点"/>
      <w:r>
        <w:t xml:space="preserve">📊 昨日复盘要点</w:t>
      </w:r>
      <w:bookmarkEnd w:id="42"/>
    </w:p>
    <w:p>
      <w:pPr>
        <w:numPr>
          <w:ilvl w:val="0"/>
          <w:numId w:val="1020"/>
        </w:numPr>
        <w:pStyle w:val="Compact"/>
      </w:pPr>
      <w:r>
        <w:t xml:space="preserve">📉 上证指数收3913.794点、-2.0612%；深证成指14522.854点、-3.4813%；创业板指3723.517点、-3.1023%；科创50报1994.3192点、-3.4217%；沪深300报4695.383点、-1.7864%。新浪、东方财富、腾讯三源校验一致。</w:t>
      </w:r>
    </w:p>
    <w:p>
      <w:pPr>
        <w:numPr>
          <w:ilvl w:val="0"/>
          <w:numId w:val="1020"/>
        </w:numPr>
        <w:pStyle w:val="Compact"/>
      </w:pPr>
      <w:r>
        <w:t xml:space="preserve">📉 同花顺单源涨跌分布显示：上涨801家、下跌4683家、平盘40家，涨停32家、跌停176家，赚钱效应显著偏弱；该组数据为完整单源，可使用但未获第二来源交叉验证。</w:t>
      </w:r>
    </w:p>
    <w:p>
      <w:pPr>
        <w:numPr>
          <w:ilvl w:val="0"/>
          <w:numId w:val="1020"/>
        </w:numPr>
        <w:pStyle w:val="Compact"/>
      </w:pPr>
      <w:r>
        <w:t xml:space="preserve">💰 同花顺单源确认全市场成交额28346.94亿元；比较口径为</w:t>
      </w:r>
      <w:r>
        <w:rPr>
          <w:rStyle w:val="VerbatimChar"/>
        </w:rPr>
        <w:t xml:space="preserve">unverified</w:t>
      </w:r>
      <w:r>
        <w:t xml:space="preserve">，因此只引用原始成交额，不使用较昨日变化比例。</w:t>
      </w:r>
    </w:p>
    <w:p>
      <w:pPr>
        <w:numPr>
          <w:ilvl w:val="0"/>
          <w:numId w:val="1020"/>
        </w:numPr>
        <w:pStyle w:val="Compact"/>
      </w:pPr>
      <w:r>
        <w:t xml:space="preserve">🎭 派生市场风格为</w:t>
      </w:r>
      <w:r>
        <w:t xml:space="preserve">“</w:t>
      </w:r>
      <w:r>
        <w:t xml:space="preserve">偏弱/防御</w:t>
      </w:r>
      <w:r>
        <w:t xml:space="preserve">”</w:t>
      </w:r>
      <w:r>
        <w:t xml:space="preserve">。指数平均跌幅-2.77%，成长方向跌幅和资金流出更重，今日先验证止跌，不预设全面反弹。</w:t>
      </w:r>
    </w:p>
    <w:p>
      <w:pPr>
        <w:numPr>
          <w:ilvl w:val="0"/>
          <w:numId w:val="1020"/>
        </w:numPr>
        <w:pStyle w:val="Compact"/>
      </w:pPr>
      <w:r>
        <w:t xml:space="preserve">⚠️</w:t>
      </w:r>
      <w:r>
        <w:t xml:space="preserve"> </w:t>
      </w:r>
      <w:r>
        <w:rPr>
          <w:rStyle w:val="VerbatimChar"/>
        </w:rPr>
        <w:t xml:space="preserve">limit_stocks</w:t>
      </w:r>
      <w:r>
        <w:t xml:space="preserve">缺失，涨停扩散和跌停结构未核验；不能根据缺失榜单补写连板梯队或题材高度。</w:t>
      </w:r>
    </w:p>
    <w:p>
      <w:r>
        <w:pict>
          <v:rect style="width:0;height:1.5pt" o:hralign="center" o:hrstd="t" o:hr="t"/>
        </w:pict>
      </w:r>
    </w:p>
    <w:p>
      <w:pPr>
        <w:pStyle w:val="Heading2"/>
      </w:pPr>
      <w:bookmarkStart w:id="43" w:name="昨日资金流向top10"/>
      <w:r>
        <w:t xml:space="preserve">💰 昨日资金流向TOP10</w:t>
      </w:r>
      <w:bookmarkEnd w:id="43"/>
    </w:p>
    <w:p>
      <w:pPr>
        <w:pStyle w:val="Heading3"/>
      </w:pPr>
      <w:bookmarkStart w:id="44" w:name="板块主力净流入top10"/>
      <w:r>
        <w:t xml:space="preserve">📈 板块主力净流入TOP10</w:t>
      </w:r>
      <w:bookmarkEnd w:id="44"/>
    </w:p>
    <w:p>
      <w:pPr>
        <w:numPr>
          <w:ilvl w:val="0"/>
          <w:numId w:val="1021"/>
        </w:numPr>
        <w:pStyle w:val="Compact"/>
      </w:pPr>
      <w:r>
        <w:t xml:space="preserve">石油石化：+5.92亿，板块-1.68%，资金逆势流入但价格尚未共振。</w:t>
      </w:r>
    </w:p>
    <w:p>
      <w:pPr>
        <w:numPr>
          <w:ilvl w:val="0"/>
          <w:numId w:val="1021"/>
        </w:numPr>
        <w:pStyle w:val="Compact"/>
      </w:pPr>
      <w:r>
        <w:t xml:space="preserve">铝：+5.70亿，板块-3.65%，属于逆势承接，需等价格转强。</w:t>
      </w:r>
    </w:p>
    <w:p>
      <w:pPr>
        <w:numPr>
          <w:ilvl w:val="0"/>
          <w:numId w:val="1021"/>
        </w:numPr>
        <w:pStyle w:val="Compact"/>
      </w:pPr>
      <w:r>
        <w:t xml:space="preserve">中药Ⅲ：+5.09亿，板块+2.96%，资金与涨幅共振。</w:t>
      </w:r>
    </w:p>
    <w:p>
      <w:pPr>
        <w:numPr>
          <w:ilvl w:val="0"/>
          <w:numId w:val="1021"/>
        </w:numPr>
        <w:pStyle w:val="Compact"/>
      </w:pPr>
      <w:r>
        <w:t xml:space="preserve">中药Ⅱ：+5.09亿，板块+2.96%，与中药Ⅲ为同一产业的不同层级口径。</w:t>
      </w:r>
    </w:p>
    <w:p>
      <w:pPr>
        <w:numPr>
          <w:ilvl w:val="0"/>
          <w:numId w:val="1021"/>
        </w:numPr>
        <w:pStyle w:val="Compact"/>
      </w:pPr>
      <w:r>
        <w:t xml:space="preserve">彩电：+4.63亿，板块-0.50%，四川长虹+8.05%提供个股辨识度。</w:t>
      </w:r>
    </w:p>
    <w:p>
      <w:pPr>
        <w:numPr>
          <w:ilvl w:val="0"/>
          <w:numId w:val="1021"/>
        </w:numPr>
        <w:pStyle w:val="Compact"/>
      </w:pPr>
      <w:r>
        <w:t xml:space="preserve">医疗研发外包：+4.48亿，板块-0.76%，万邦医药+20.01%但换手54.44%，高波动。</w:t>
      </w:r>
    </w:p>
    <w:p>
      <w:pPr>
        <w:numPr>
          <w:ilvl w:val="0"/>
          <w:numId w:val="1021"/>
        </w:numPr>
        <w:pStyle w:val="Compact"/>
      </w:pPr>
      <w:r>
        <w:t xml:space="preserve">黑色家电：+4.44亿，板块-3.09%，资金流入与板块下跌背离。</w:t>
      </w:r>
    </w:p>
    <w:p>
      <w:pPr>
        <w:numPr>
          <w:ilvl w:val="0"/>
          <w:numId w:val="1021"/>
        </w:numPr>
        <w:pStyle w:val="Compact"/>
      </w:pPr>
      <w:r>
        <w:t xml:space="preserve">炼油化工：+3.95亿，板块-1.60%，等待油价映射转化为价格强度。</w:t>
      </w:r>
    </w:p>
    <w:p>
      <w:pPr>
        <w:numPr>
          <w:ilvl w:val="0"/>
          <w:numId w:val="1021"/>
        </w:numPr>
        <w:pStyle w:val="Compact"/>
      </w:pPr>
      <w:r>
        <w:t xml:space="preserve">炼化及贸易：+3.46亿，板块-2.86%，与炼油化工存在层级重叠。</w:t>
      </w:r>
    </w:p>
    <w:p>
      <w:pPr>
        <w:numPr>
          <w:ilvl w:val="0"/>
          <w:numId w:val="1021"/>
        </w:numPr>
        <w:pStyle w:val="Compact"/>
      </w:pPr>
      <w:r>
        <w:t xml:space="preserve">动力煤：+2.21亿，板块-0.35%，偏防御承接。</w:t>
      </w:r>
    </w:p>
    <w:p>
      <w:pPr>
        <w:pStyle w:val="Heading3"/>
      </w:pPr>
      <w:bookmarkStart w:id="45" w:name="板块主力净流出top10"/>
      <w:r>
        <w:t xml:space="preserve">📉 板块主力净流出TOP10</w:t>
      </w:r>
      <w:bookmarkEnd w:id="45"/>
    </w:p>
    <w:p>
      <w:pPr>
        <w:numPr>
          <w:ilvl w:val="0"/>
          <w:numId w:val="1022"/>
        </w:numPr>
        <w:pStyle w:val="Compact"/>
      </w:pPr>
      <w:r>
        <w:t xml:space="preserve">电子：-774.96亿，板块-6.64%。</w:t>
      </w:r>
    </w:p>
    <w:p>
      <w:pPr>
        <w:numPr>
          <w:ilvl w:val="0"/>
          <w:numId w:val="1022"/>
        </w:numPr>
        <w:pStyle w:val="Compact"/>
      </w:pPr>
      <w:r>
        <w:t xml:space="preserve">半导体：-422.86亿，板块-5.63%。</w:t>
      </w:r>
    </w:p>
    <w:p>
      <w:pPr>
        <w:numPr>
          <w:ilvl w:val="0"/>
          <w:numId w:val="1022"/>
        </w:numPr>
        <w:pStyle w:val="Compact"/>
      </w:pPr>
      <w:r>
        <w:t xml:space="preserve">数字芯片设计：-204.15亿，板块-5.74%。</w:t>
      </w:r>
    </w:p>
    <w:p>
      <w:pPr>
        <w:numPr>
          <w:ilvl w:val="0"/>
          <w:numId w:val="1022"/>
        </w:numPr>
        <w:pStyle w:val="Compact"/>
      </w:pPr>
      <w:r>
        <w:t xml:space="preserve">机械设备：-152.60亿，板块-5.70%。</w:t>
      </w:r>
    </w:p>
    <w:p>
      <w:pPr>
        <w:numPr>
          <w:ilvl w:val="0"/>
          <w:numId w:val="1022"/>
        </w:numPr>
        <w:pStyle w:val="Compact"/>
      </w:pPr>
      <w:r>
        <w:t xml:space="preserve">通信：-137.47亿，板块-5.72%。</w:t>
      </w:r>
    </w:p>
    <w:p>
      <w:pPr>
        <w:numPr>
          <w:ilvl w:val="0"/>
          <w:numId w:val="1022"/>
        </w:numPr>
        <w:pStyle w:val="Compact"/>
      </w:pPr>
      <w:r>
        <w:t xml:space="preserve">通信设备：-135.34亿，板块-6.32%。</w:t>
      </w:r>
    </w:p>
    <w:p>
      <w:pPr>
        <w:numPr>
          <w:ilvl w:val="0"/>
          <w:numId w:val="1022"/>
        </w:numPr>
        <w:pStyle w:val="Compact"/>
      </w:pPr>
      <w:r>
        <w:t xml:space="preserve">电力设备：-116.63亿，板块-5.53%。</w:t>
      </w:r>
    </w:p>
    <w:p>
      <w:pPr>
        <w:numPr>
          <w:ilvl w:val="0"/>
          <w:numId w:val="1022"/>
        </w:numPr>
        <w:pStyle w:val="Compact"/>
      </w:pPr>
      <w:r>
        <w:t xml:space="preserve">元件：-91.06亿，板块-8.48%。</w:t>
      </w:r>
    </w:p>
    <w:p>
      <w:pPr>
        <w:numPr>
          <w:ilvl w:val="0"/>
          <w:numId w:val="1022"/>
        </w:numPr>
        <w:pStyle w:val="Compact"/>
      </w:pPr>
      <w:r>
        <w:t xml:space="preserve">消费电子：-90.76亿，板块-6.67%。</w:t>
      </w:r>
    </w:p>
    <w:p>
      <w:pPr>
        <w:numPr>
          <w:ilvl w:val="0"/>
          <w:numId w:val="1022"/>
        </w:numPr>
        <w:pStyle w:val="Compact"/>
      </w:pPr>
      <w:r>
        <w:t xml:space="preserve">消费电子零部件及组装：-87.40亿，板块-6.94%。</w:t>
      </w:r>
    </w:p>
    <w:p>
      <w:pPr>
        <w:numPr>
          <w:ilvl w:val="0"/>
          <w:numId w:val="1023"/>
        </w:numPr>
        <w:pStyle w:val="Compact"/>
      </w:pPr>
      <w:r>
        <w:t xml:space="preserve">⚠️ 电子、半导体、通信及元件存在行业层级重叠，但各项均来自采集 JSON 真实榜单；共同信号是高位科技资金撤退明显，早盘反抽更适合观察承接而非追涨。</w:t>
      </w:r>
    </w:p>
    <w:p>
      <w:pPr>
        <w:numPr>
          <w:ilvl w:val="0"/>
          <w:numId w:val="1023"/>
        </w:numPr>
        <w:pStyle w:val="Compact"/>
      </w:pPr>
      <w:r>
        <w:t xml:space="preserve">🔥 个股逆势流入线索：通富微电+11.34亿、拓荆科技+9.31亿、宁德时代+6.93亿、四川长虹+6.20亿、中国软件+3.73亿。个股资金强不等于所属大板块已止跌。</w:t>
      </w:r>
    </w:p>
    <w:p>
      <w:pPr>
        <w:numPr>
          <w:ilvl w:val="0"/>
          <w:numId w:val="1023"/>
        </w:numPr>
        <w:pStyle w:val="Compact"/>
      </w:pPr>
      <w:r>
        <w:t xml:space="preserve">🚫 个股流出风险：兆易创新-49.60亿、佰维存储-26.40亿、京东方A-25.39亿、华天科技-24.54亿、普冉股份-21.52亿，科技内部仍处剧烈分化。</w:t>
      </w:r>
    </w:p>
    <w:p>
      <w:r>
        <w:pict>
          <v:rect style="width:0;height:1.5pt" o:hralign="center" o:hrstd="t" o:hr="t"/>
        </w:pict>
      </w:r>
    </w:p>
    <w:p>
      <w:pPr>
        <w:pStyle w:val="Heading2"/>
      </w:pPr>
      <w:bookmarkStart w:id="46" w:name="华泰自选股观察"/>
      <w:r>
        <w:t xml:space="preserve">🧾 华泰自选股观察</w:t>
      </w:r>
      <w:bookmarkEnd w:id="46"/>
    </w:p>
    <w:p>
      <w:pPr>
        <w:numPr>
          <w:ilvl w:val="0"/>
          <w:numId w:val="1024"/>
        </w:numPr>
        <w:pStyle w:val="Compact"/>
      </w:pPr>
      <w:r>
        <w:t xml:space="preserve">📌 华泰自选股3只行情全部取得。工商银行与防御主线明显共振；弘元绿能、风语筑分别处于电力设备和数字媒体弱势链条。</w:t>
      </w:r>
    </w:p>
    <w:p>
      <w:pPr>
        <w:numPr>
          <w:ilvl w:val="0"/>
          <w:numId w:val="1024"/>
        </w:numPr>
        <w:pStyle w:val="Compact"/>
      </w:pPr>
      <w:r>
        <w:t xml:space="preserve">🧭 整体判断：仅工商银行偏强；弘元绿能与风语筑以跟踪为主、暂不作为主攻方向。</w:t>
      </w:r>
    </w:p>
    <w:p>
      <w:pPr>
        <w:pStyle w:val="Heading3"/>
      </w:pPr>
      <w:bookmarkStart w:id="47" w:name="弘元绿能603185"/>
      <w:r>
        <w:t xml:space="preserve">1️⃣ 弘元绿能（603185）</w:t>
      </w:r>
      <w:bookmarkEnd w:id="47"/>
    </w:p>
    <w:p>
      <w:pPr>
        <w:numPr>
          <w:ilvl w:val="0"/>
          <w:numId w:val="1025"/>
        </w:numPr>
        <w:pStyle w:val="Compact"/>
      </w:pPr>
      <w:r>
        <w:t xml:space="preserve">📉 最新价13.92元，较前收14.80元下跌5.95%，未停牌；华泰补充行情结构完整。</w:t>
      </w:r>
    </w:p>
    <w:p>
      <w:pPr>
        <w:numPr>
          <w:ilvl w:val="0"/>
          <w:numId w:val="1025"/>
        </w:numPr>
        <w:pStyle w:val="Compact"/>
      </w:pPr>
      <w:r>
        <w:t xml:space="preserve">🧩 所属光伏制造/硅片及电力设备链。昨日电力设备-5.53%、主力净流出116.63亿，光伏加工设备-8.11%、净流出7.45亿。</w:t>
      </w:r>
    </w:p>
    <w:p>
      <w:pPr>
        <w:numPr>
          <w:ilvl w:val="0"/>
          <w:numId w:val="1025"/>
        </w:numPr>
        <w:pStyle w:val="Compact"/>
      </w:pPr>
      <w:r>
        <w:t xml:space="preserve">🔄 主线关系：与今日油气、中药和银行防御线不共振，且所属方向仍弱。</w:t>
      </w:r>
    </w:p>
    <w:p>
      <w:pPr>
        <w:numPr>
          <w:ilvl w:val="0"/>
          <w:numId w:val="1025"/>
        </w:numPr>
        <w:pStyle w:val="Compact"/>
      </w:pPr>
      <w:r>
        <w:t xml:space="preserve">💡 判断：偏弱、以跟踪为主、暂不作为主攻方向；不追高、不在下跌途中无条件补仓，只有板块转强和个股收复14.80元后才可低吸跟踪。</w:t>
      </w:r>
    </w:p>
    <w:p>
      <w:pPr>
        <w:pStyle w:val="Heading3"/>
      </w:pPr>
      <w:bookmarkStart w:id="48" w:name="风语筑603466"/>
      <w:r>
        <w:t xml:space="preserve">2️⃣ 风语筑（603466）</w:t>
      </w:r>
      <w:bookmarkEnd w:id="48"/>
    </w:p>
    <w:p>
      <w:pPr>
        <w:numPr>
          <w:ilvl w:val="0"/>
          <w:numId w:val="1026"/>
        </w:numPr>
        <w:pStyle w:val="Compact"/>
      </w:pPr>
      <w:r>
        <w:t xml:space="preserve">📉 最新价10.55元，较前收11.60元下跌9.05%，距离当日跌停参考价10.44元较近，未停牌。</w:t>
      </w:r>
    </w:p>
    <w:p>
      <w:pPr>
        <w:numPr>
          <w:ilvl w:val="0"/>
          <w:numId w:val="1026"/>
        </w:numPr>
        <w:pStyle w:val="Compact"/>
      </w:pPr>
      <w:r>
        <w:t xml:space="preserve">🧩 所属数字内容、文化展示和数字媒体方向；其他数字媒体板块昨日-9.59%、主力净流出6093.29万。</w:t>
      </w:r>
    </w:p>
    <w:p>
      <w:pPr>
        <w:numPr>
          <w:ilvl w:val="0"/>
          <w:numId w:val="1026"/>
        </w:numPr>
        <w:pStyle w:val="Compact"/>
      </w:pPr>
      <w:r>
        <w:t xml:space="preserve">🔄 主线关系：与防御主线无明显共振，数字内容未获得资金和板块表现支持。</w:t>
      </w:r>
    </w:p>
    <w:p>
      <w:pPr>
        <w:numPr>
          <w:ilvl w:val="0"/>
          <w:numId w:val="1026"/>
        </w:numPr>
        <w:pStyle w:val="Compact"/>
      </w:pPr>
      <w:r>
        <w:t xml:space="preserve">💡 判断：明显偏弱、以跟踪为主、暂不作为主攻方向；反弹不追，无法收复11.60元时优先风险控制。</w:t>
      </w:r>
    </w:p>
    <w:p>
      <w:pPr>
        <w:pStyle w:val="Heading3"/>
      </w:pPr>
      <w:bookmarkStart w:id="49" w:name="工商银行601398"/>
      <w:r>
        <w:t xml:space="preserve">3️⃣ 工商银行（601398）</w:t>
      </w:r>
      <w:bookmarkEnd w:id="49"/>
    </w:p>
    <w:p>
      <w:pPr>
        <w:numPr>
          <w:ilvl w:val="0"/>
          <w:numId w:val="1027"/>
        </w:numPr>
        <w:pStyle w:val="Compact"/>
      </w:pPr>
      <w:r>
        <w:t xml:space="preserve">📈 最新价7.53元，较前收7.33元上涨2.73%，未停牌；同时进入个股主力净流入榜，净流入2.27亿。</w:t>
      </w:r>
    </w:p>
    <w:p>
      <w:pPr>
        <w:numPr>
          <w:ilvl w:val="0"/>
          <w:numId w:val="1027"/>
        </w:numPr>
        <w:pStyle w:val="Compact"/>
      </w:pPr>
      <w:r>
        <w:t xml:space="preserve">🧩 所属国有大行和高股息红利。银行板块+2.07%，国有大型银行Ⅲ+2.57%，但银行整体主力净流出5.75亿，价格与资金存在分歧。</w:t>
      </w:r>
    </w:p>
    <w:p>
      <w:pPr>
        <w:numPr>
          <w:ilvl w:val="0"/>
          <w:numId w:val="1027"/>
        </w:numPr>
        <w:pStyle w:val="Compact"/>
      </w:pPr>
      <w:r>
        <w:t xml:space="preserve">🔄 主线关系：与</w:t>
      </w:r>
      <w:r>
        <w:t xml:space="preserve">“</w:t>
      </w:r>
      <w:r>
        <w:t xml:space="preserve">偏弱/防御</w:t>
      </w:r>
      <w:r>
        <w:t xml:space="preserve">”</w:t>
      </w:r>
      <w:r>
        <w:t xml:space="preserve">市场风格共振，是自选股中最强的防守标的。</w:t>
      </w:r>
    </w:p>
    <w:p>
      <w:pPr>
        <w:numPr>
          <w:ilvl w:val="0"/>
          <w:numId w:val="1027"/>
        </w:numPr>
        <w:pStyle w:val="Compact"/>
      </w:pPr>
      <w:r>
        <w:t xml:space="preserve">💡 判断：偏强、继续观察/持有，不追高；回踩守住7.33元且银行资金改善时才考虑条件加仓。</w:t>
      </w:r>
    </w:p>
    <w:p>
      <w:r>
        <w:pict>
          <v:rect style="width:0;height:1.5pt" o:hralign="center" o:hrstd="t" o:hr="t"/>
        </w:pict>
      </w:r>
    </w:p>
    <w:p>
      <w:pPr>
        <w:pStyle w:val="Heading2"/>
      </w:pPr>
      <w:bookmarkStart w:id="50" w:name="今日操作策略"/>
      <w:r>
        <w:t xml:space="preserve">🎯 今日操作策略</w:t>
      </w:r>
      <w:bookmarkEnd w:id="50"/>
    </w:p>
    <w:p>
      <w:pPr>
        <w:numPr>
          <w:ilvl w:val="0"/>
          <w:numId w:val="1028"/>
        </w:numPr>
        <w:pStyle w:val="Compact"/>
      </w:pPr>
      <w:r>
        <w:t xml:space="preserve">🧭 市场预判：偏弱震荡、先防守后验证修复。昨日4683家下跌、176家跌停，不能仅因大跌后存在反抽需求就提高仓位。</w:t>
      </w:r>
    </w:p>
    <w:p>
      <w:pPr>
        <w:numPr>
          <w:ilvl w:val="0"/>
          <w:numId w:val="1028"/>
        </w:numPr>
        <w:pStyle w:val="Compact"/>
      </w:pPr>
      <w:r>
        <w:t xml:space="preserve">🔥 关注顺序：油气开采/石油石化的外盘映射；中药的资金与涨幅共振；国有大行的指数防守。</w:t>
      </w:r>
    </w:p>
    <w:p>
      <w:pPr>
        <w:numPr>
          <w:ilvl w:val="0"/>
          <w:numId w:val="1028"/>
        </w:numPr>
        <w:pStyle w:val="Compact"/>
      </w:pPr>
      <w:r>
        <w:t xml:space="preserve">🚫 回避方向：存储芯片、消费电子、通信线缆、PCB等大额流出方向的一致性反抽；业绩预告内容未读清的公告股；无板块联动的单票脉冲。</w:t>
      </w:r>
    </w:p>
    <w:p>
      <w:pPr>
        <w:pStyle w:val="Heading3"/>
      </w:pPr>
      <w:bookmarkStart w:id="51" w:name="仓位分层"/>
      <w:r>
        <w:t xml:space="preserve">💡 仓位分层</w:t>
      </w:r>
      <w:bookmarkEnd w:id="51"/>
    </w:p>
    <w:p>
      <w:pPr>
        <w:numPr>
          <w:ilvl w:val="0"/>
          <w:numId w:val="1029"/>
        </w:numPr>
        <w:pStyle w:val="Compact"/>
      </w:pPr>
      <w:r>
        <w:t xml:space="preserve">激进：40%，只做资金与板块共振方向的首次分歧承接，不追高开急拉。</w:t>
      </w:r>
    </w:p>
    <w:p>
      <w:pPr>
        <w:numPr>
          <w:ilvl w:val="0"/>
          <w:numId w:val="1029"/>
        </w:numPr>
        <w:pStyle w:val="Compact"/>
      </w:pPr>
      <w:r>
        <w:t xml:space="preserve">稳健：25%，以防御底仓为主，待上证守住3900点附近并出现板块资金延续后再加仓。</w:t>
      </w:r>
    </w:p>
    <w:p>
      <w:pPr>
        <w:numPr>
          <w:ilvl w:val="0"/>
          <w:numId w:val="1029"/>
        </w:numPr>
        <w:pStyle w:val="Compact"/>
      </w:pPr>
      <w:r>
        <w:t xml:space="preserve">保守：10%，等待下跌家数显著收窄、跌停风险缓解和科技大额流出停止。</w:t>
      </w:r>
    </w:p>
    <w:p>
      <w:pPr>
        <w:numPr>
          <w:ilvl w:val="0"/>
          <w:numId w:val="1029"/>
        </w:numPr>
        <w:pStyle w:val="Compact"/>
      </w:pPr>
      <w:r>
        <w:t xml:space="preserve">⚠️ 以上仓位采用</w:t>
      </w:r>
      <w:r>
        <w:rPr>
          <w:rStyle w:val="VerbatimChar"/>
        </w:rPr>
        <w:t xml:space="preserve">derived.position_model</w:t>
      </w:r>
      <w:r>
        <w:t xml:space="preserve">，最大总仓位40%；成交额比较口径未核验，不以</w:t>
      </w:r>
      <w:r>
        <w:t xml:space="preserve">“</w:t>
      </w:r>
      <w:r>
        <w:t xml:space="preserve">缩量比例</w:t>
      </w:r>
      <w:r>
        <w:t xml:space="preserve">”</w:t>
      </w:r>
      <w:r>
        <w:t xml:space="preserve">调整仓位。</w:t>
      </w:r>
    </w:p>
    <w:p>
      <w:pPr>
        <w:pStyle w:val="Heading3"/>
      </w:pPr>
      <w:bookmarkStart w:id="52" w:name="主要风险"/>
      <w:r>
        <w:t xml:space="preserve">⚠️ 主要风险</w:t>
      </w:r>
      <w:bookmarkEnd w:id="52"/>
    </w:p>
    <w:p>
      <w:pPr>
        <w:numPr>
          <w:ilvl w:val="0"/>
          <w:numId w:val="1030"/>
        </w:numPr>
        <w:pStyle w:val="Compact"/>
      </w:pPr>
      <w:r>
        <w:t xml:space="preserve">上证昨日最低3900.6676点，若早盘有效跌破且无法收回，需防融资与情绪负反馈。</w:t>
      </w:r>
    </w:p>
    <w:p>
      <w:pPr>
        <w:numPr>
          <w:ilvl w:val="0"/>
          <w:numId w:val="1030"/>
        </w:numPr>
        <w:pStyle w:val="Compact"/>
      </w:pPr>
      <w:r>
        <w:t xml:space="preserve">油气受外盘价格驱动，若WTI回吐或A股油气高开低走，事件映射迅速失效。</w:t>
      </w:r>
    </w:p>
    <w:p>
      <w:pPr>
        <w:numPr>
          <w:ilvl w:val="0"/>
          <w:numId w:val="1030"/>
        </w:numPr>
        <w:pStyle w:val="Compact"/>
      </w:pPr>
      <w:r>
        <w:t xml:space="preserve">中药已有20%涨幅样本，追高面临兑现；银行虽抗跌但板块主力资金仍为净流出。</w:t>
      </w:r>
    </w:p>
    <w:p>
      <w:pPr>
        <w:numPr>
          <w:ilvl w:val="0"/>
          <w:numId w:val="1030"/>
        </w:numPr>
        <w:pStyle w:val="Compact"/>
      </w:pPr>
      <w:r>
        <w:t xml:space="preserve">科技大额流出覆盖多个细分，单只逆势流入股不能证明整个赛道止跌。</w:t>
      </w:r>
    </w:p>
    <w:p>
      <w:r>
        <w:pict>
          <v:rect style="width:0;height:1.5pt" o:hralign="center" o:hrstd="t" o:hr="t"/>
        </w:pict>
      </w:r>
    </w:p>
    <w:p>
      <w:pPr>
        <w:pStyle w:val="Heading2"/>
      </w:pPr>
      <w:bookmarkStart w:id="53" w:name="重点投资方向"/>
      <w:r>
        <w:t xml:space="preserve">🎯 重点投资方向</w:t>
      </w:r>
      <w:bookmarkEnd w:id="53"/>
    </w:p>
    <w:p>
      <w:pPr>
        <w:pStyle w:val="Heading3"/>
      </w:pPr>
      <w:bookmarkStart w:id="54" w:name="方向一油气开采-石油石化炼化优先级高条件参与"/>
      <w:r>
        <w:t xml:space="preserve">方向一：油气开采-石油石化/炼化（优先级：高，条件参与）</w:t>
      </w:r>
      <w:bookmarkEnd w:id="54"/>
    </w:p>
    <w:p>
      <w:pPr>
        <w:numPr>
          <w:ilvl w:val="0"/>
          <w:numId w:val="1031"/>
        </w:numPr>
        <w:pStyle w:val="Compact"/>
      </w:pPr>
      <w:r>
        <w:t xml:space="preserve">📌 证据链：WTI原油+2.58%；昨日油气开采Ⅱ/Ⅲ均+2.81%；石油石化主力净流入5.92亿，炼油化工净流入3.95亿，炼化及贸易净流入3.46亿；通源石油+7.00%、换手41.96%。</w:t>
      </w:r>
    </w:p>
    <w:p>
      <w:pPr>
        <w:numPr>
          <w:ilvl w:val="0"/>
          <w:numId w:val="1031"/>
        </w:numPr>
        <w:pStyle w:val="Compact"/>
      </w:pPr>
      <w:r>
        <w:t xml:space="preserve">🔥 核心标的：中国石油（个股净流入2.53亿、+4.21%）、通源石油（油气开采领涨线索但高换手）、华锦股份（炼化及贸易/炼油化工领涨线索，+5.17%）。</w:t>
      </w:r>
    </w:p>
    <w:p>
      <w:pPr>
        <w:numPr>
          <w:ilvl w:val="0"/>
          <w:numId w:val="1031"/>
        </w:numPr>
        <w:pStyle w:val="Compact"/>
      </w:pPr>
      <w:r>
        <w:t xml:space="preserve">💡 参与策略：激进等高开后的首次回踩承接；稳健等石油石化板块由-1.68%转强且净流入延续；保守只观察油价与板块联动。</w:t>
      </w:r>
    </w:p>
    <w:p>
      <w:pPr>
        <w:numPr>
          <w:ilvl w:val="0"/>
          <w:numId w:val="1031"/>
        </w:numPr>
        <w:pStyle w:val="Compact"/>
      </w:pPr>
      <w:r>
        <w:t xml:space="preserve">✅ 触发条件：WTI维持强势，石油石化与油气开采至少两个层级同步上涨，核心股不跌破开盘价且成交扩散。</w:t>
      </w:r>
    </w:p>
    <w:p>
      <w:pPr>
        <w:numPr>
          <w:ilvl w:val="0"/>
          <w:numId w:val="1031"/>
        </w:numPr>
        <w:pStyle w:val="Compact"/>
      </w:pPr>
      <w:r>
        <w:t xml:space="preserve">🚫 失效条件：WTI明显回吐、石油石化继续下跌，或通源石油等高换手标的冲高回落并带动板块转弱。</w:t>
      </w:r>
    </w:p>
    <w:p>
      <w:pPr>
        <w:numPr>
          <w:ilvl w:val="0"/>
          <w:numId w:val="1031"/>
        </w:numPr>
        <w:pStyle w:val="Compact"/>
      </w:pPr>
      <w:r>
        <w:t xml:space="preserve">⚠️ 风险：地缘事件溢价回落、油价急涨后反转、高开兑现及行业层级信号不一致。</w:t>
      </w:r>
    </w:p>
    <w:p>
      <w:pPr>
        <w:pStyle w:val="Heading3"/>
      </w:pPr>
      <w:bookmarkStart w:id="55" w:name="方向二中药-医药防御优先级高避免追板"/>
      <w:r>
        <w:t xml:space="preserve">方向二：中药-医药防御（优先级：高，避免追板）</w:t>
      </w:r>
      <w:bookmarkEnd w:id="55"/>
    </w:p>
    <w:p>
      <w:pPr>
        <w:numPr>
          <w:ilvl w:val="0"/>
          <w:numId w:val="1032"/>
        </w:numPr>
        <w:pStyle w:val="Compact"/>
      </w:pPr>
      <w:r>
        <w:t xml:space="preserve">📌 证据链：中药Ⅱ与中药Ⅲ均+2.96%、主力净流入5.09亿、成交203.36亿；陇神戎发+20.00%、换手17.51%、量比5.26；九芝堂+10.05%，哈药股份+10.09%。</w:t>
      </w:r>
    </w:p>
    <w:p>
      <w:pPr>
        <w:numPr>
          <w:ilvl w:val="0"/>
          <w:numId w:val="1032"/>
        </w:numPr>
        <w:pStyle w:val="Compact"/>
      </w:pPr>
      <w:r>
        <w:t xml:space="preserve">🔥 核心标的：陇神戎发（涨幅与板块辨识度最高但已高位）、九芝堂（中药涨停样本）、上海凯宝（+15.81%、量比6.05，提供扩散线索）。</w:t>
      </w:r>
    </w:p>
    <w:p>
      <w:pPr>
        <w:numPr>
          <w:ilvl w:val="0"/>
          <w:numId w:val="1032"/>
        </w:numPr>
        <w:pStyle w:val="Compact"/>
      </w:pPr>
      <w:r>
        <w:t xml:space="preserve">💡 参与策略：激进只做核心分歧回封或低位补涨；稳健等待中药板块回踩不破并保持净流入；保守不追涨停股。</w:t>
      </w:r>
    </w:p>
    <w:p>
      <w:pPr>
        <w:numPr>
          <w:ilvl w:val="0"/>
          <w:numId w:val="1032"/>
        </w:numPr>
        <w:pStyle w:val="Compact"/>
      </w:pPr>
      <w:r>
        <w:t xml:space="preserve">✅ 触发条件：中药板块继续强于指数，资金保持净流入，陇神戎发不出现快速开板杀跌且至少两只中药股同步走强。</w:t>
      </w:r>
    </w:p>
    <w:p>
      <w:pPr>
        <w:numPr>
          <w:ilvl w:val="0"/>
          <w:numId w:val="1032"/>
        </w:numPr>
        <w:pStyle w:val="Compact"/>
      </w:pPr>
      <w:r>
        <w:t xml:space="preserve">🚫 失效条件：板块主力资金转净流出、陇神戎发跌破开盘价并带动涨停扩散失败。</w:t>
      </w:r>
    </w:p>
    <w:p>
      <w:pPr>
        <w:numPr>
          <w:ilvl w:val="0"/>
          <w:numId w:val="1032"/>
        </w:numPr>
        <w:pStyle w:val="Compact"/>
      </w:pPr>
      <w:r>
        <w:t xml:space="preserve">⚠️ 风险：政策线索未获原文核验、短线超买、高位兑现及医药内部轮动过快。</w:t>
      </w:r>
    </w:p>
    <w:p>
      <w:pPr>
        <w:pStyle w:val="Heading3"/>
      </w:pPr>
      <w:bookmarkStart w:id="56" w:name="方向三国有大行-高股息防御优先级中高"/>
      <w:r>
        <w:t xml:space="preserve">方向三：国有大行-高股息防御（优先级：中高）</w:t>
      </w:r>
      <w:bookmarkEnd w:id="56"/>
    </w:p>
    <w:p>
      <w:pPr>
        <w:numPr>
          <w:ilvl w:val="0"/>
          <w:numId w:val="1033"/>
        </w:numPr>
        <w:pStyle w:val="Compact"/>
      </w:pPr>
      <w:r>
        <w:t xml:space="preserve">📌 证据链：国有大型银行Ⅲ+2.57%；工商银行+2.73%、净流入2.27亿；农业银行+2.25%、净流入2.41亿；沪深300-1.7864%相对成长指数更抗跌。</w:t>
      </w:r>
    </w:p>
    <w:p>
      <w:pPr>
        <w:numPr>
          <w:ilvl w:val="0"/>
          <w:numId w:val="1033"/>
        </w:numPr>
        <w:pStyle w:val="Compact"/>
      </w:pPr>
      <w:r>
        <w:t xml:space="preserve">🔥 核心标的：工商银行（自选股与实盘持仓、价格和个股资金共振）、农业银行（实盘持仓、个股资金流入）、建设银行（国有大行板块领涨线索，+3.56%）。</w:t>
      </w:r>
    </w:p>
    <w:p>
      <w:pPr>
        <w:numPr>
          <w:ilvl w:val="0"/>
          <w:numId w:val="1033"/>
        </w:numPr>
        <w:pStyle w:val="Compact"/>
      </w:pPr>
      <w:r>
        <w:t xml:space="preserve">💡 参与策略：激进不追权重急拉；稳健保留红利底仓、回踩确认后小幅增加；保守用国有大行判断指数防守质量。</w:t>
      </w:r>
    </w:p>
    <w:p>
      <w:pPr>
        <w:numPr>
          <w:ilvl w:val="0"/>
          <w:numId w:val="1033"/>
        </w:numPr>
        <w:pStyle w:val="Compact"/>
      </w:pPr>
      <w:r>
        <w:t xml:space="preserve">✅ 触发条件：工商银行守住7.33元，农业银行维持强于指数，国有大行多数上涨且银行整体资金流出收窄或转正。</w:t>
      </w:r>
    </w:p>
    <w:p>
      <w:pPr>
        <w:numPr>
          <w:ilvl w:val="0"/>
          <w:numId w:val="1033"/>
        </w:numPr>
        <w:pStyle w:val="Compact"/>
      </w:pPr>
      <w:r>
        <w:t xml:space="preserve">🚫 失效条件：工商银行跌破7.33元且无法收回、银行板块转跌，或上证跌破3900.6676点后国有大行无法护盘。</w:t>
      </w:r>
    </w:p>
    <w:p>
      <w:pPr>
        <w:numPr>
          <w:ilvl w:val="0"/>
          <w:numId w:val="1033"/>
        </w:numPr>
        <w:pStyle w:val="Compact"/>
      </w:pPr>
      <w:r>
        <w:t xml:space="preserve">⚠️ 风险：银行整体昨日仍净流出5.75亿，红利拥挤、利率预期变化及指数系统性下跌均可能削弱防守。</w:t>
      </w:r>
    </w:p>
    <w:p>
      <w:r>
        <w:pict>
          <v:rect style="width:0;height:1.5pt" o:hralign="center" o:hrstd="t" o:hr="t"/>
        </w:pict>
      </w:r>
    </w:p>
    <w:p>
      <w:pPr>
        <w:pStyle w:val="Heading2"/>
      </w:pPr>
      <w:bookmarkStart w:id="57" w:name="用户实盘持仓策略"/>
      <w:r>
        <w:t xml:space="preserve">💼 用户实盘持仓策略</w:t>
      </w:r>
      <w:bookmarkEnd w:id="57"/>
    </w:p>
    <w:p>
      <w:pPr>
        <w:pStyle w:val="BlockText"/>
      </w:pPr>
      <w:r>
        <w:t xml:space="preserve">行情口径：弘元绿能、风语筑、工商银行使用华泰补充行情；农业银行使用东方财富资金流榜中的最新价。前3只没有纳入本轮</w:t>
      </w:r>
      <w:r>
        <w:rPr>
          <w:rStyle w:val="VerbatimChar"/>
        </w:rPr>
        <w:t xml:space="preserve">stock_quote_cross_checks</w:t>
      </w:r>
      <w:r>
        <w:t xml:space="preserve">样本，农业银行也无三源个股校验，因此盈亏均为最新可得参考值，执行时需以券商实时行情复核。</w:t>
      </w:r>
    </w:p>
    <w:p>
      <w:pPr>
        <w:pStyle w:val="Heading3"/>
      </w:pPr>
      <w:bookmarkStart w:id="58" w:name="弘元绿能603185300股成本26.6669元"/>
      <w:r>
        <w:t xml:space="preserve">弘元绿能（603185）｜300股｜成本26.6669元</w:t>
      </w:r>
      <w:bookmarkEnd w:id="58"/>
    </w:p>
    <w:p>
      <w:pPr>
        <w:numPr>
          <w:ilvl w:val="0"/>
          <w:numId w:val="1034"/>
        </w:numPr>
        <w:pStyle w:val="Compact"/>
      </w:pPr>
      <w:r>
        <w:t xml:space="preserve">📉 最新参考价13.92元，参考浮亏47.80%，浮动亏损3824.07元；所属光伏加工设备-8.11%、电力设备-5.53%，趋势和板块环境均弱。</w:t>
      </w:r>
    </w:p>
    <w:p>
      <w:pPr>
        <w:numPr>
          <w:ilvl w:val="0"/>
          <w:numId w:val="1034"/>
        </w:numPr>
        <w:pStyle w:val="Compact"/>
      </w:pPr>
      <w:r>
        <w:t xml:space="preserve">💡 今日动作：减仓/清仓观察优先。若反弹不能收复14.80元且光伏、电力设备仍弱，借反弹继续降低仓位；不因浮亏大而摊薄成本。</w:t>
      </w:r>
    </w:p>
    <w:p>
      <w:pPr>
        <w:numPr>
          <w:ilvl w:val="0"/>
          <w:numId w:val="1034"/>
        </w:numPr>
        <w:pStyle w:val="Compact"/>
      </w:pPr>
      <w:r>
        <w:t xml:space="preserve">🚫 减仓或离场触发：触及13.32元跌停参考价附近且无快速回收；或反弹至14.80元附近放量滞涨、板块仍无共振。</w:t>
      </w:r>
    </w:p>
    <w:p>
      <w:pPr>
        <w:numPr>
          <w:ilvl w:val="0"/>
          <w:numId w:val="1034"/>
        </w:numPr>
        <w:pStyle w:val="Compact"/>
      </w:pPr>
      <w:r>
        <w:t xml:space="preserve">✅ 条件加仓：仅当光伏加工设备由跌转涨、主力净流出显著改善，个股收复14.80元并回踩确认后小仓跟踪。</w:t>
      </w:r>
    </w:p>
    <w:p>
      <w:pPr>
        <w:numPr>
          <w:ilvl w:val="0"/>
          <w:numId w:val="1034"/>
        </w:numPr>
        <w:pStyle w:val="Compact"/>
      </w:pPr>
      <w:r>
        <w:t xml:space="preserve">⚠️ 失效与风险：板块继续净流出、个股弱于指数或再创新低，修复逻辑失效；光伏供需和高波动风险仍高。</w:t>
      </w:r>
    </w:p>
    <w:p>
      <w:pPr>
        <w:pStyle w:val="Heading3"/>
      </w:pPr>
      <w:bookmarkStart w:id="59" w:name="风语筑603466700股成本13.2159元"/>
      <w:r>
        <w:t xml:space="preserve">风语筑（603466）｜700股｜成本13.2159元</w:t>
      </w:r>
      <w:bookmarkEnd w:id="59"/>
    </w:p>
    <w:p>
      <w:pPr>
        <w:numPr>
          <w:ilvl w:val="0"/>
          <w:numId w:val="1035"/>
        </w:numPr>
        <w:pStyle w:val="Compact"/>
      </w:pPr>
      <w:r>
        <w:t xml:space="preserve">📉 最新参考价10.55元，参考浮亏20.17%，浮动亏损1866.13元；其他数字媒体板块-9.59%，个股已接近10.44元跌停参考价。</w:t>
      </w:r>
    </w:p>
    <w:p>
      <w:pPr>
        <w:numPr>
          <w:ilvl w:val="0"/>
          <w:numId w:val="1035"/>
        </w:numPr>
        <w:pStyle w:val="Compact"/>
      </w:pPr>
      <w:r>
        <w:t xml:space="preserve">💡 今日动作：清仓观察/反弹减仓。当前属于组合中短线风险最高的标的，若开盘后仍无法脱离跌停参考区，不等待回本价再决策。</w:t>
      </w:r>
    </w:p>
    <w:p>
      <w:pPr>
        <w:numPr>
          <w:ilvl w:val="0"/>
          <w:numId w:val="1035"/>
        </w:numPr>
        <w:pStyle w:val="Compact"/>
      </w:pPr>
      <w:r>
        <w:t xml:space="preserve">🚫 减仓或离场触发：触及10.44元且封单无法有效打开；或反弹不能收复11.60元、数字内容方向仍无多股联动。</w:t>
      </w:r>
    </w:p>
    <w:p>
      <w:pPr>
        <w:numPr>
          <w:ilvl w:val="0"/>
          <w:numId w:val="1035"/>
        </w:numPr>
        <w:pStyle w:val="Compact"/>
      </w:pPr>
      <w:r>
        <w:t xml:space="preserve">✅ 条件加仓：仅当个股收复11.60元、数字媒体板块同步转强且成交扩散后再评估；下跌途中禁止补仓。</w:t>
      </w:r>
    </w:p>
    <w:p>
      <w:pPr>
        <w:numPr>
          <w:ilvl w:val="0"/>
          <w:numId w:val="1035"/>
        </w:numPr>
        <w:pStyle w:val="Compact"/>
      </w:pPr>
      <w:r>
        <w:t xml:space="preserve">⚠️ 失效与风险：题材无资金支持、流动性恶化、连续弱势或指数成长风格再下探，所有修复预案失效。</w:t>
      </w:r>
    </w:p>
    <w:p>
      <w:pPr>
        <w:pStyle w:val="Heading3"/>
      </w:pPr>
      <w:bookmarkStart w:id="60" w:name="工商银行6013981900股成本7.0601元"/>
      <w:r>
        <w:t xml:space="preserve">工商银行（601398）｜1900股｜成本7.0601元</w:t>
      </w:r>
      <w:bookmarkEnd w:id="60"/>
    </w:p>
    <w:p>
      <w:pPr>
        <w:numPr>
          <w:ilvl w:val="0"/>
          <w:numId w:val="1036"/>
        </w:numPr>
        <w:pStyle w:val="Compact"/>
      </w:pPr>
      <w:r>
        <w:t xml:space="preserve">📈 最新参考价7.53元，参考浮盈6.66%，浮动盈利892.81元；个股净流入2.27亿，与国有大行+2.57%的防御方向共振。</w:t>
      </w:r>
    </w:p>
    <w:p>
      <w:pPr>
        <w:numPr>
          <w:ilvl w:val="0"/>
          <w:numId w:val="1036"/>
        </w:numPr>
        <w:pStyle w:val="Compact"/>
      </w:pPr>
      <w:r>
        <w:t xml:space="preserve">💡 今日动作：持有，是组合中最稳健的持仓；不追涨，保留其红利和指数防守属性。</w:t>
      </w:r>
    </w:p>
    <w:p>
      <w:pPr>
        <w:numPr>
          <w:ilvl w:val="0"/>
          <w:numId w:val="1036"/>
        </w:numPr>
        <w:pStyle w:val="Compact"/>
      </w:pPr>
      <w:r>
        <w:t xml:space="preserve">🚫 减仓或离场触发：跌破7.33元前收且30分钟不能收回，同时银行板块转弱或整体资金流出扩大。</w:t>
      </w:r>
    </w:p>
    <w:p>
      <w:pPr>
        <w:numPr>
          <w:ilvl w:val="0"/>
          <w:numId w:val="1036"/>
        </w:numPr>
        <w:pStyle w:val="Compact"/>
      </w:pPr>
      <w:r>
        <w:t xml:space="preserve">✅ 条件加仓：回踩7.33元不破后重新转强，国有大行多数上涨且银行整体资金改善时，方可小幅加仓。</w:t>
      </w:r>
    </w:p>
    <w:p>
      <w:pPr>
        <w:numPr>
          <w:ilvl w:val="0"/>
          <w:numId w:val="1036"/>
        </w:numPr>
        <w:pStyle w:val="Compact"/>
      </w:pPr>
      <w:r>
        <w:t xml:space="preserve">⚠️ 失效与风险：银行价格强但板块净流出5.75亿，若资金分歧扩大、红利补跌或指数失守3900.6676点，防守逻辑减弱。</w:t>
      </w:r>
    </w:p>
    <w:p>
      <w:pPr>
        <w:pStyle w:val="Heading3"/>
      </w:pPr>
      <w:bookmarkStart w:id="61" w:name="农业银行6012885300股成本6.4244元"/>
      <w:r>
        <w:t xml:space="preserve">农业银行（601288）｜5300股｜成本6.4244元</w:t>
      </w:r>
      <w:bookmarkEnd w:id="61"/>
    </w:p>
    <w:p>
      <w:pPr>
        <w:numPr>
          <w:ilvl w:val="0"/>
          <w:numId w:val="1037"/>
        </w:numPr>
        <w:pStyle w:val="Compact"/>
      </w:pPr>
      <w:r>
        <w:t xml:space="preserve">📉 最新参考价6.37元、+2.25%，参考浮亏0.85%，浮动亏损288.32元；个股主力净流入2.41亿，与国有大行防御共振。</w:t>
      </w:r>
    </w:p>
    <w:p>
      <w:pPr>
        <w:numPr>
          <w:ilvl w:val="0"/>
          <w:numId w:val="1037"/>
        </w:numPr>
        <w:pStyle w:val="Compact"/>
      </w:pPr>
      <w:r>
        <w:t xml:space="preserve">💡 今日动作：持有观察。亏损接近盈亏平衡不构成加仓理由，应看银行板块延续与个股资金。</w:t>
      </w:r>
    </w:p>
    <w:p>
      <w:pPr>
        <w:numPr>
          <w:ilvl w:val="0"/>
          <w:numId w:val="1037"/>
        </w:numPr>
        <w:pStyle w:val="Compact"/>
      </w:pPr>
      <w:r>
        <w:t xml:space="preserve">🚫 减仓或离场触发：股价由强转弱并跌破当日开盘价，同时国有大行板块转跌、个股主力资金转流出；因缺少三源日内关键位，不虚构固定止损价。</w:t>
      </w:r>
    </w:p>
    <w:p>
      <w:pPr>
        <w:numPr>
          <w:ilvl w:val="0"/>
          <w:numId w:val="1037"/>
        </w:numPr>
        <w:pStyle w:val="Compact"/>
      </w:pPr>
      <w:r>
        <w:t xml:space="preserve">✅ 条件加仓：价格站上6.4244元后仍保持强于指数，且国有大行多数上涨、个股净流入延续时小仓增加；不得仅因</w:t>
      </w:r>
      <w:r>
        <w:t xml:space="preserve">“</w:t>
      </w:r>
      <w:r>
        <w:t xml:space="preserve">回本</w:t>
      </w:r>
      <w:r>
        <w:t xml:space="preserve">”</w:t>
      </w:r>
      <w:r>
        <w:t xml:space="preserve">机械加仓。</w:t>
      </w:r>
    </w:p>
    <w:p>
      <w:pPr>
        <w:numPr>
          <w:ilvl w:val="0"/>
          <w:numId w:val="1037"/>
        </w:numPr>
        <w:pStyle w:val="Compact"/>
      </w:pPr>
      <w:r>
        <w:t xml:space="preserve">⚠️ 失效与风险：最新价为单一结构化来源，需券商盘中复核；银行板块整体资金仍分歧，指数系统性下跌会削弱防守。</w:t>
      </w:r>
    </w:p>
    <w:p>
      <w:pPr>
        <w:pStyle w:val="Heading3"/>
      </w:pPr>
      <w:bookmarkStart w:id="62" w:name="组合优先级"/>
      <w:r>
        <w:t xml:space="preserve">📌 组合优先级</w:t>
      </w:r>
      <w:bookmarkEnd w:id="62"/>
    </w:p>
    <w:p>
      <w:pPr>
        <w:numPr>
          <w:ilvl w:val="0"/>
          <w:numId w:val="1038"/>
        </w:numPr>
        <w:pStyle w:val="Compact"/>
      </w:pPr>
      <w:r>
        <w:t xml:space="preserve">⚠️ 最该减仓观察：风语筑，昨日-9.05%且接近跌停参考区；弘元绿能中期浮亏更大，也应借无共振反弹降低仓位。</w:t>
      </w:r>
    </w:p>
    <w:p>
      <w:pPr>
        <w:numPr>
          <w:ilvl w:val="0"/>
          <w:numId w:val="1038"/>
        </w:numPr>
        <w:pStyle w:val="Compact"/>
      </w:pPr>
      <w:r>
        <w:t xml:space="preserve">🛡️ 最稳健持有：工商银行，参考浮盈6.66%，个股资金与国有大行防御共振。</w:t>
      </w:r>
    </w:p>
    <w:p>
      <w:pPr>
        <w:numPr>
          <w:ilvl w:val="0"/>
          <w:numId w:val="1038"/>
        </w:numPr>
        <w:pStyle w:val="Compact"/>
      </w:pPr>
      <w:r>
        <w:t xml:space="preserve">✅ 满足条件才可加仓：农业银行；需站上6.4244元后仍强于指数、国有大行多数上涨且净流入延续。弘元绿能和风语筑在各自板块未转强前均不加仓。</w:t>
      </w:r>
    </w:p>
    <w:p>
      <w:r>
        <w:pict>
          <v:rect style="width:0;height:1.5pt" o:hralign="center" o:hrstd="t" o:hr="t"/>
        </w:pict>
      </w:r>
    </w:p>
    <w:p>
      <w:pPr>
        <w:pStyle w:val="BlockText"/>
      </w:pPr>
      <w:r>
        <w:t xml:space="preserve">📊 生成时间：2026-07-14 08:30（北京时间，Asia/Shanghai）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2026-07-14T02:16:05Z</dcterms:created>
  <dcterms:modified xsi:type="dcterms:W3CDTF">2026-07-14T02:16:05Z</dcterms:modified>
</cp:coreProperties>
</file>

<file path=docProps/custom.xml><?xml version="1.0" encoding="utf-8"?>
<Properties xmlns="http://schemas.openxmlformats.org/officeDocument/2006/custom-properties" xmlns:vt="http://schemas.openxmlformats.org/officeDocument/2006/docPropsVTypes"/>
</file>