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13周一"/>
      <w:r>
        <w:t xml:space="preserve">🌅 盘前简报 | 2026-07-13（周一）</w:t>
      </w:r>
      <w:bookmarkEnd w:id="20"/>
    </w:p>
    <w:p>
      <w:r>
        <w:pict>
          <v:rect style="width:0;height:1.5pt" o:hralign="center" o:hrstd="t" o:hr="t"/>
        </w:pict>
      </w:r>
    </w:p>
    <w:p>
      <w:pPr>
        <w:pStyle w:val="Heading2"/>
      </w:pPr>
      <w:bookmarkStart w:id="21" w:name="隔夜全球市场"/>
      <w:r>
        <w:t xml:space="preserve">🌐 隔夜全球市场</w:t>
      </w:r>
      <w:bookmarkEnd w:id="21"/>
    </w:p>
    <w:p>
      <w:pPr>
        <w:numPr>
          <w:ilvl w:val="0"/>
          <w:numId w:val="1001"/>
        </w:numPr>
        <w:pStyle w:val="Compact"/>
      </w:pPr>
      <w:r>
        <w:t xml:space="preserve">📈 富时A50期指报 15008.22 点，+0.31%；恒生指数上一交易日收于 24030.18 点，+0.60%。外部中国资产信号偏稳，但不足以抵消A股上周五科技股的集中回撤压力。</w:t>
      </w:r>
    </w:p>
    <w:p>
      <w:pPr>
        <w:numPr>
          <w:ilvl w:val="0"/>
          <w:numId w:val="1001"/>
        </w:numPr>
        <w:pStyle w:val="Compact"/>
      </w:pPr>
      <w:r>
        <w:t xml:space="preserve">💱 美元离岸人民币报 6.7847，+0.05%，汇率波动有限。</w:t>
      </w:r>
    </w:p>
    <w:p>
      <w:pPr>
        <w:numPr>
          <w:ilvl w:val="0"/>
          <w:numId w:val="1001"/>
        </w:numPr>
        <w:pStyle w:val="Compact"/>
      </w:pPr>
      <w:r>
        <w:t xml:space="preserve">🛢️ WTI原油报 73.936，+3.54%，能源与油气运输链可能获得事件溢价；COMEX黄金报 4080.66，-0.80%，伦铜报 13449.89，-0.26%，贵金属和铜价未形成同步避险共振。</w:t>
      </w:r>
    </w:p>
    <w:p>
      <w:pPr>
        <w:numPr>
          <w:ilvl w:val="0"/>
          <w:numId w:val="1001"/>
        </w:numPr>
        <w:pStyle w:val="Compact"/>
      </w:pPr>
      <w:r>
        <w:t xml:space="preserve">⚠️ 采集 JSON 未提供美股三大指数、重点中概股及欧洲股市的可靠具体数值，本报告不补写未经确认的点位或涨跌幅。</w:t>
      </w:r>
    </w:p>
    <w:p>
      <w:pPr>
        <w:numPr>
          <w:ilvl w:val="0"/>
          <w:numId w:val="1001"/>
        </w:numPr>
        <w:pStyle w:val="Compact"/>
      </w:pPr>
      <w:r>
        <w:t xml:space="preserve">🧭 盘前映射：A50与港股提供一定情绪支撑，原油急涨强化能源线，但A股更关键的变量仍是科创50、创业板在上周五大跌后的止跌质量。</w:t>
      </w:r>
    </w:p>
    <w:p>
      <w:r>
        <w:pict>
          <v:rect style="width:0;height:1.5pt" o:hralign="center" o:hrstd="t" o:hr="t"/>
        </w:pict>
      </w:r>
    </w:p>
    <w:p>
      <w:pPr>
        <w:pStyle w:val="Heading2"/>
      </w:pPr>
      <w:bookmarkStart w:id="22" w:name="新闻联播政策面"/>
      <w:r>
        <w:t xml:space="preserve">📺 新闻联播政策面</w:t>
      </w:r>
      <w:bookmarkEnd w:id="22"/>
    </w:p>
    <w:p>
      <w:pPr>
        <w:numPr>
          <w:ilvl w:val="0"/>
          <w:numId w:val="1002"/>
        </w:numPr>
        <w:pStyle w:val="Compact"/>
      </w:pPr>
      <w:r>
        <w:t xml:space="preserve">⚠️ 未找到并验证 2026-07-12《新闻联播》完整存档，无法完成</w:t>
      </w:r>
      <w:r>
        <w:t xml:space="preserve">“</w:t>
      </w:r>
      <w:r>
        <w:t xml:space="preserve">抓取时间、官网目录条数、详情正文</w:t>
      </w:r>
      <w:r>
        <w:t xml:space="preserve">”</w:t>
      </w:r>
      <w:r>
        <w:t xml:space="preserve">三项核验，因此本节不编造昨晚联播内容。</w:t>
      </w:r>
    </w:p>
    <w:p>
      <w:pPr>
        <w:numPr>
          <w:ilvl w:val="0"/>
          <w:numId w:val="1002"/>
        </w:numPr>
        <w:pStyle w:val="Compact"/>
      </w:pPr>
      <w:r>
        <w:t xml:space="preserve">🔴 采集 JSON 中华泰</w:t>
      </w:r>
      <w:r>
        <w:t xml:space="preserve"> </w:t>
      </w:r>
      <w:r>
        <w:rPr>
          <w:rStyle w:val="VerbatimChar"/>
        </w:rPr>
        <w:t xml:space="preserve">market_insight</w:t>
      </w:r>
      <w:r>
        <w:t xml:space="preserve"> </w:t>
      </w:r>
      <w:r>
        <w:t xml:space="preserve">提到商业航天、半导体、央国企高股息及设备更新，但属于华泰文本分析，只作为线索，不能替代央视原文，也不能作为唯一事实来源。</w:t>
      </w:r>
    </w:p>
    <w:p>
      <w:pPr>
        <w:numPr>
          <w:ilvl w:val="0"/>
          <w:numId w:val="1002"/>
        </w:numPr>
        <w:pStyle w:val="Compact"/>
      </w:pPr>
      <w:r>
        <w:t xml:space="preserve">💡 今日政策交易原则：商业航天、半导体等方向只有在开盘后出现板块放量、多股联动和核心股承接时才升级；否则按反弹观察处理。</w:t>
      </w:r>
    </w:p>
    <w:p>
      <w:r>
        <w:pict>
          <v:rect style="width:0;height:1.5pt" o:hralign="center" o:hrstd="t" o:hr="t"/>
        </w:pict>
      </w:r>
    </w:p>
    <w:p>
      <w:pPr>
        <w:pStyle w:val="Heading2"/>
      </w:pPr>
      <w:bookmarkStart w:id="23" w:name="今日重要公告"/>
      <w:r>
        <w:t xml:space="preserve">📋 今日重要公告</w:t>
      </w:r>
      <w:bookmarkEnd w:id="23"/>
    </w:p>
    <w:p>
      <w:pPr>
        <w:numPr>
          <w:ilvl w:val="0"/>
          <w:numId w:val="1003"/>
        </w:numPr>
        <w:pStyle w:val="Compact"/>
      </w:pPr>
      <w:r>
        <w:t xml:space="preserve">⚠️ 赛力斯（601127）披露2026年半年度业绩预亏公告，汽车整车及相关产业链需防范业绩预期外溢，开盘若放量走弱不宜逆势承接。</w:t>
      </w:r>
    </w:p>
    <w:p>
      <w:pPr>
        <w:numPr>
          <w:ilvl w:val="0"/>
          <w:numId w:val="1003"/>
        </w:numPr>
        <w:pStyle w:val="Compact"/>
      </w:pPr>
      <w:r>
        <w:t xml:space="preserve">📌 巨力索具（002342）发布市场传闻澄清及风险提示，题材交易应以公告澄清后的事实为准，警惕高开兑现。</w:t>
      </w:r>
    </w:p>
    <w:p>
      <w:pPr>
        <w:numPr>
          <w:ilvl w:val="0"/>
          <w:numId w:val="1003"/>
        </w:numPr>
        <w:pStyle w:val="Compact"/>
      </w:pPr>
      <w:r>
        <w:t xml:space="preserve">🔄 新华百货（600785）控股股东协议转让股份终止，属于明确的事件终止信号，短线偏风险提示。</w:t>
      </w:r>
    </w:p>
    <w:p>
      <w:pPr>
        <w:numPr>
          <w:ilvl w:val="0"/>
          <w:numId w:val="1003"/>
        </w:numPr>
        <w:pStyle w:val="Compact"/>
      </w:pPr>
      <w:r>
        <w:t xml:space="preserve">🧩 东睦股份（600114）披露发行股份及支付现金购买资产并募集配套资金暨关联交易注册稿及财务顾问报告，事项继续推进，但采集数据未给出估值、审核结果和交易完成情况，不能直接定性为业绩利好。</w:t>
      </w:r>
    </w:p>
    <w:p>
      <w:pPr>
        <w:numPr>
          <w:ilvl w:val="0"/>
          <w:numId w:val="1003"/>
        </w:numPr>
        <w:pStyle w:val="Compact"/>
      </w:pPr>
      <w:r>
        <w:t xml:space="preserve">⚠️ 安达智能（688125）披露年报问询回复及核查意见；应重点观察市场对回复质量的反馈。陕天然气（002267）主要为董事会换届及股东会程序性公告，不宜当作独立产业催化。</w:t>
      </w:r>
    </w:p>
    <w:p>
      <w:r>
        <w:pict>
          <v:rect style="width:0;height:1.5pt" o:hralign="center" o:hrstd="t" o:hr="t"/>
        </w:pict>
      </w:r>
    </w:p>
    <w:p>
      <w:pPr>
        <w:pStyle w:val="Heading2"/>
      </w:pPr>
      <w:bookmarkStart w:id="24" w:name="今日经济数据与事件"/>
      <w:r>
        <w:t xml:space="preserve">📅 今日经济数据与事件</w:t>
      </w:r>
      <w:bookmarkEnd w:id="24"/>
    </w:p>
    <w:p>
      <w:pPr>
        <w:numPr>
          <w:ilvl w:val="0"/>
          <w:numId w:val="1004"/>
        </w:numPr>
        <w:pStyle w:val="Compact"/>
      </w:pPr>
      <w:r>
        <w:t xml:space="preserve">📊 采集 JSON 未提供今日国内GDP、社融、M2、央行操作或海外CPI等权威日程和具体发布时间，不编造预期值。</w:t>
      </w:r>
    </w:p>
    <w:p>
      <w:pPr>
        <w:numPr>
          <w:ilvl w:val="0"/>
          <w:numId w:val="1004"/>
        </w:numPr>
        <w:pStyle w:val="Compact"/>
      </w:pPr>
      <w:r>
        <w:t xml:space="preserve">🧭 华泰文本提示本周需留意国内二季度增长及6月宏观数据、美国通胀数据，但具体日程未经本次结构化采集确认，只作风险日历提醒。</w:t>
      </w:r>
    </w:p>
    <w:p>
      <w:pPr>
        <w:numPr>
          <w:ilvl w:val="0"/>
          <w:numId w:val="1004"/>
        </w:numPr>
        <w:pStyle w:val="Compact"/>
      </w:pPr>
      <w:r>
        <w:t xml:space="preserve">💡 开盘策略以已确认行情为主：若宏观数据公布前指数缩量，避免提前押注单一结果；数据落地后再看银行、消费、周期及成长风格的相对强弱。</w:t>
      </w:r>
    </w:p>
    <w:p>
      <w:r>
        <w:pict>
          <v:rect style="width:0;height:1.5pt" o:hralign="center" o:hrstd="t" o:hr="t"/>
        </w:pict>
      </w:r>
    </w:p>
    <w:p>
      <w:pPr>
        <w:pStyle w:val="Heading2"/>
      </w:pPr>
      <w:bookmarkStart w:id="25" w:name="全球重要事件"/>
      <w:r>
        <w:t xml:space="preserve">🌍 全球重要事件</w:t>
      </w:r>
      <w:bookmarkEnd w:id="25"/>
    </w:p>
    <w:p>
      <w:pPr>
        <w:numPr>
          <w:ilvl w:val="0"/>
          <w:numId w:val="1005"/>
        </w:numPr>
        <w:pStyle w:val="Compact"/>
      </w:pPr>
      <w:r>
        <w:t xml:space="preserve">🛢️ WTI原油上涨 3.54%是本次可确认的最强外部价格信号。若油价继续强势，可观察油气开采、油服和能源运输；若高开后油价回落或板块无量，事件交易失效。</w:t>
      </w:r>
    </w:p>
    <w:p>
      <w:pPr>
        <w:numPr>
          <w:ilvl w:val="0"/>
          <w:numId w:val="1005"/>
        </w:numPr>
        <w:pStyle w:val="Compact"/>
      </w:pPr>
      <w:r>
        <w:t xml:space="preserve">⚠️ 华泰文本提到地缘冲突及霍尔木兹海峡不确定性，但本次未取得可独立核验的事件原文，报告仅依据已确认的油价波动制定条件预案，不扩写未经证实的冲突细节。</w:t>
      </w:r>
    </w:p>
    <w:p>
      <w:pPr>
        <w:numPr>
          <w:ilvl w:val="0"/>
          <w:numId w:val="1005"/>
        </w:numPr>
        <w:pStyle w:val="Compact"/>
      </w:pPr>
      <w:r>
        <w:t xml:space="preserve">📉 黄金下跌 0.80%、伦铜下跌 0.26%，商品并非全面风险偏好上升；资源板块应区分油气强势与黄金、铜偏弱。</w:t>
      </w:r>
    </w:p>
    <w:p>
      <w:r>
        <w:pict>
          <v:rect style="width:0;height:1.5pt" o:hralign="center" o:hrstd="t" o:hr="t"/>
        </w:pict>
      </w:r>
    </w:p>
    <w:p>
      <w:pPr>
        <w:pStyle w:val="Heading2"/>
      </w:pPr>
      <w:bookmarkStart w:id="26" w:name="昨日复盘要点"/>
      <w:r>
        <w:t xml:space="preserve">📊 昨日复盘要点</w:t>
      </w:r>
      <w:bookmarkEnd w:id="26"/>
    </w:p>
    <w:p>
      <w:pPr>
        <w:numPr>
          <w:ilvl w:val="0"/>
          <w:numId w:val="1006"/>
        </w:numPr>
        <w:pStyle w:val="Compact"/>
      </w:pPr>
      <w:r>
        <w:t xml:space="preserve">📉 上证指数收于 3996.1616 点，-1.0015%；深证成指 15046.67 点，-2.2863%；创业板指 3842.731 点，-4.3662%；科创50报 2064.9756 点，-5.5288%；沪深300报 4780.7867 点，-1.9590%。新浪、东方财富、腾讯指数校验一致。</w:t>
      </w:r>
    </w:p>
    <w:p>
      <w:pPr>
        <w:numPr>
          <w:ilvl w:val="0"/>
          <w:numId w:val="1006"/>
        </w:numPr>
        <w:pStyle w:val="Compact"/>
      </w:pPr>
      <w:r>
        <w:t xml:space="preserve">💰 上证成交额 15631.09 亿、深证成交额 18254.36 亿，两市合计 33885.45 亿。放量下跌且成长指数跌幅显著更大，说明高位科技兑现强烈，今日首要任务是确认抛压是否衰减。</w:t>
      </w:r>
    </w:p>
    <w:p>
      <w:pPr>
        <w:numPr>
          <w:ilvl w:val="0"/>
          <w:numId w:val="1006"/>
        </w:numPr>
        <w:pStyle w:val="Compact"/>
      </w:pPr>
      <w:r>
        <w:t xml:space="preserve">📉 风格特征：上证相对抗跌，科创50与创业板领跌，资金从高弹性成长撤退的迹象明显；银行红利可作为指数稳定器，科技方向只能做止跌确认后的修复。</w:t>
      </w:r>
    </w:p>
    <w:p>
      <w:pPr>
        <w:numPr>
          <w:ilvl w:val="0"/>
          <w:numId w:val="1006"/>
        </w:numPr>
        <w:pStyle w:val="Compact"/>
      </w:pPr>
      <w:r>
        <w:t xml:space="preserve">⚠️</w:t>
      </w:r>
      <w:r>
        <w:t xml:space="preserve"> </w:t>
      </w:r>
      <w:r>
        <w:rPr>
          <w:rStyle w:val="VerbatimChar"/>
        </w:rPr>
        <w:t xml:space="preserve">money_flow</w:t>
      </w:r>
      <w:r>
        <w:t xml:space="preserve">、</w:t>
      </w:r>
      <w:r>
        <w:rPr>
          <w:rStyle w:val="VerbatimChar"/>
        </w:rPr>
        <w:t xml:space="preserve">sector_performance</w:t>
      </w:r>
      <w:r>
        <w:t xml:space="preserve">、</w:t>
      </w:r>
      <w:r>
        <w:rPr>
          <w:rStyle w:val="VerbatimChar"/>
        </w:rPr>
        <w:t xml:space="preserve">active_stocks</w:t>
      </w:r>
      <w:r>
        <w:t xml:space="preserve">、</w:t>
      </w:r>
      <w:r>
        <w:rPr>
          <w:rStyle w:val="VerbatimChar"/>
        </w:rPr>
        <w:t xml:space="preserve">stock_quote_cross_checks</w:t>
      </w:r>
      <w:r>
        <w:t xml:space="preserve">均因东方财富HTTP 502失败，无法获得真实板块资金榜、板块涨跌榜和核心个股三源校验，个股结论必须降级。</w:t>
      </w:r>
    </w:p>
    <w:p>
      <w:r>
        <w:pict>
          <v:rect style="width:0;height:1.5pt" o:hralign="center" o:hrstd="t" o:hr="t"/>
        </w:pict>
      </w:r>
    </w:p>
    <w:p>
      <w:pPr>
        <w:pStyle w:val="Heading2"/>
      </w:pPr>
      <w:bookmarkStart w:id="27" w:name="昨日资金流向说明"/>
      <w:r>
        <w:t xml:space="preserve">💰 昨日资金流向说明</w:t>
      </w:r>
      <w:bookmarkEnd w:id="27"/>
    </w:p>
    <w:p>
      <w:pPr>
        <w:numPr>
          <w:ilvl w:val="0"/>
          <w:numId w:val="1007"/>
        </w:numPr>
        <w:pStyle w:val="Compact"/>
      </w:pPr>
      <w:r>
        <w:t xml:space="preserve">⚠️</w:t>
      </w:r>
      <w:r>
        <w:t xml:space="preserve"> </w:t>
      </w:r>
      <w:r>
        <w:rPr>
          <w:rStyle w:val="VerbatimChar"/>
        </w:rPr>
        <w:t xml:space="preserve">sources.money_flow.ok=false</w:t>
      </w:r>
      <w:r>
        <w:t xml:space="preserve">，采集 JSON 没有真实资金流入TOP10与资金流出TOP10。</w:t>
      </w:r>
    </w:p>
    <w:p>
      <w:pPr>
        <w:numPr>
          <w:ilvl w:val="0"/>
          <w:numId w:val="1007"/>
        </w:numPr>
        <w:pStyle w:val="Compact"/>
      </w:pPr>
      <w:r>
        <w:t xml:space="preserve">💰 资金流入TOP10：数据源HTTP 502，无法提供真实板块名称与金额；禁止用华泰文本或搜索数据替代。</w:t>
      </w:r>
    </w:p>
    <w:p>
      <w:pPr>
        <w:numPr>
          <w:ilvl w:val="0"/>
          <w:numId w:val="1007"/>
        </w:numPr>
        <w:pStyle w:val="Compact"/>
      </w:pPr>
      <w:r>
        <w:t xml:space="preserve">📉 资金流出TOP10：数据源HTTP 502，无法提供真实板块名称与金额；禁止编造。</w:t>
      </w:r>
    </w:p>
    <w:p>
      <w:pPr>
        <w:numPr>
          <w:ilvl w:val="0"/>
          <w:numId w:val="1007"/>
        </w:numPr>
        <w:pStyle w:val="Compact"/>
      </w:pPr>
      <w:r>
        <w:t xml:space="preserve">💡 降级验证：开盘后观察指数相对强弱、板块成交扩散、核心股承接，并等待午盘采集恢复后再依据真实资金榜调整方向。</w:t>
      </w:r>
    </w:p>
    <w:p>
      <w:r>
        <w:pict>
          <v:rect style="width:0;height:1.5pt" o:hralign="center" o:hrstd="t" o:hr="t"/>
        </w:pict>
      </w:r>
    </w:p>
    <w:p>
      <w:pPr>
        <w:pStyle w:val="Heading2"/>
      </w:pPr>
      <w:bookmarkStart w:id="28" w:name="华泰自选股观察"/>
      <w:r>
        <w:t xml:space="preserve">🧾 华泰自选股观察</w:t>
      </w:r>
      <w:bookmarkEnd w:id="28"/>
    </w:p>
    <w:p>
      <w:pPr>
        <w:numPr>
          <w:ilvl w:val="0"/>
          <w:numId w:val="1008"/>
        </w:numPr>
        <w:pStyle w:val="Compact"/>
      </w:pPr>
      <w:r>
        <w:t xml:space="preserve">📌 华泰自选股3只行情全部取得，以下逐只覆盖。由于本地个股三源校验失败，价格只作为华泰补充行情，不能形成强确定性交易结论。</w:t>
      </w:r>
    </w:p>
    <w:p>
      <w:pPr>
        <w:numPr>
          <w:ilvl w:val="0"/>
          <w:numId w:val="1008"/>
        </w:numPr>
        <w:pStyle w:val="Compact"/>
      </w:pPr>
      <w:r>
        <w:t xml:space="preserve">🧭 整体上，工商银行与高股息防守风格共振；弘元绿能、风语筑与今日潜在线索仅弱共振。三只均以跟踪为主、暂不作为主攻方向。</w:t>
      </w:r>
    </w:p>
    <w:p>
      <w:pPr>
        <w:pStyle w:val="Heading3"/>
      </w:pPr>
      <w:bookmarkStart w:id="29" w:name="弘元绿能603185"/>
      <w:r>
        <w:t xml:space="preserve">1️⃣ 弘元绿能（603185）</w:t>
      </w:r>
      <w:bookmarkEnd w:id="29"/>
    </w:p>
    <w:p>
      <w:pPr>
        <w:numPr>
          <w:ilvl w:val="0"/>
          <w:numId w:val="1009"/>
        </w:numPr>
        <w:pStyle w:val="Compact"/>
      </w:pPr>
      <w:r>
        <w:t xml:space="preserve">📈 最新价14.80元，较前收14.55元上涨1.72%，未停牌。</w:t>
      </w:r>
    </w:p>
    <w:p>
      <w:pPr>
        <w:numPr>
          <w:ilvl w:val="0"/>
          <w:numId w:val="1009"/>
        </w:numPr>
        <w:pStyle w:val="Compact"/>
      </w:pPr>
      <w:r>
        <w:t xml:space="preserve">🧩 所属光伏硅片、光伏制造及新能源设备链；与高股息、油气线无共振，与设备更新仅有产业映射。</w:t>
      </w:r>
    </w:p>
    <w:p>
      <w:pPr>
        <w:numPr>
          <w:ilvl w:val="0"/>
          <w:numId w:val="1009"/>
        </w:numPr>
        <w:pStyle w:val="Compact"/>
      </w:pPr>
      <w:r>
        <w:t xml:space="preserve">🔄 当日主线关系：本地板块资金和成交数据缺失，无法确认光伏形成主线。</w:t>
      </w:r>
    </w:p>
    <w:p>
      <w:pPr>
        <w:numPr>
          <w:ilvl w:val="0"/>
          <w:numId w:val="1009"/>
        </w:numPr>
        <w:pStyle w:val="Compact"/>
      </w:pPr>
      <w:r>
        <w:t xml:space="preserve">💡 判断：继续观察、可低吸跟踪但不追高；只有光伏板块放量、多股联动且个股回踩后强于板块，才提高优先级。</w:t>
      </w:r>
    </w:p>
    <w:p>
      <w:pPr>
        <w:pStyle w:val="Heading3"/>
      </w:pPr>
      <w:bookmarkStart w:id="30" w:name="风语筑603466"/>
      <w:r>
        <w:t xml:space="preserve">2️⃣ 风语筑（603466）</w:t>
      </w:r>
      <w:bookmarkEnd w:id="30"/>
    </w:p>
    <w:p>
      <w:pPr>
        <w:numPr>
          <w:ilvl w:val="0"/>
          <w:numId w:val="1010"/>
        </w:numPr>
        <w:pStyle w:val="Compact"/>
      </w:pPr>
      <w:r>
        <w:t xml:space="preserve">📈 最新价11.60元，较前收11.33元上涨2.38%，未停牌。</w:t>
      </w:r>
    </w:p>
    <w:p>
      <w:pPr>
        <w:numPr>
          <w:ilvl w:val="0"/>
          <w:numId w:val="1010"/>
        </w:numPr>
        <w:pStyle w:val="Compact"/>
      </w:pPr>
      <w:r>
        <w:t xml:space="preserve">🧩 所属数字内容、文化展示和数字化场景，可映射AI应用，但与半导体硬件、商业航天并非直接共振。</w:t>
      </w:r>
    </w:p>
    <w:p>
      <w:pPr>
        <w:numPr>
          <w:ilvl w:val="0"/>
          <w:numId w:val="1010"/>
        </w:numPr>
        <w:pStyle w:val="Compact"/>
      </w:pPr>
      <w:r>
        <w:t xml:space="preserve">🔄 当日主线关系：若AI应用端不能独立形成板块联动，其上涨更可能是个股修复。</w:t>
      </w:r>
    </w:p>
    <w:p>
      <w:pPr>
        <w:numPr>
          <w:ilvl w:val="0"/>
          <w:numId w:val="1010"/>
        </w:numPr>
        <w:pStyle w:val="Compact"/>
      </w:pPr>
      <w:r>
        <w:t xml:space="preserve">💡 判断：偏强观察、不追高；回踩守住前收且数字内容多股同步走强时可低吸跟踪，否则以跟踪为主。</w:t>
      </w:r>
    </w:p>
    <w:p>
      <w:pPr>
        <w:pStyle w:val="Heading3"/>
      </w:pPr>
      <w:bookmarkStart w:id="31" w:name="工商银行601398"/>
      <w:r>
        <w:t xml:space="preserve">3️⃣ 工商银行（601398）</w:t>
      </w:r>
      <w:bookmarkEnd w:id="31"/>
    </w:p>
    <w:p>
      <w:pPr>
        <w:numPr>
          <w:ilvl w:val="0"/>
          <w:numId w:val="1011"/>
        </w:numPr>
        <w:pStyle w:val="Compact"/>
      </w:pPr>
      <w:r>
        <w:t xml:space="preserve">📈 最新价7.33元，较前收7.27元上涨0.83%，未停牌。</w:t>
      </w:r>
    </w:p>
    <w:p>
      <w:pPr>
        <w:numPr>
          <w:ilvl w:val="0"/>
          <w:numId w:val="1011"/>
        </w:numPr>
        <w:pStyle w:val="Compact"/>
      </w:pPr>
      <w:r>
        <w:t xml:space="preserve">🧩 所属国有大行、银行红利与指数权重，和央国企高股息防守方向共振。</w:t>
      </w:r>
    </w:p>
    <w:p>
      <w:pPr>
        <w:numPr>
          <w:ilvl w:val="0"/>
          <w:numId w:val="1011"/>
        </w:numPr>
        <w:pStyle w:val="Compact"/>
      </w:pPr>
      <w:r>
        <w:t xml:space="preserve">🔄 当日主线关系：若成长继续承压，银行可能承担稳定指数作用，但上涨弹性通常低于题材股。</w:t>
      </w:r>
    </w:p>
    <w:p>
      <w:pPr>
        <w:numPr>
          <w:ilvl w:val="0"/>
          <w:numId w:val="1011"/>
        </w:numPr>
        <w:pStyle w:val="Compact"/>
      </w:pPr>
      <w:r>
        <w:t xml:space="preserve">💡 判断：偏强、继续持有观察，不追高；若银行板块走弱且个股跌破前收，则防守共振失效。</w:t>
      </w:r>
    </w:p>
    <w:p>
      <w:r>
        <w:pict>
          <v:rect style="width:0;height:1.5pt" o:hralign="center" o:hrstd="t" o:hr="t"/>
        </w:pict>
      </w:r>
    </w:p>
    <w:p>
      <w:pPr>
        <w:pStyle w:val="Heading2"/>
      </w:pPr>
      <w:bookmarkStart w:id="32" w:name="今日操作策略"/>
      <w:r>
        <w:t xml:space="preserve">🎯 今日操作策略</w:t>
      </w:r>
      <w:bookmarkEnd w:id="32"/>
    </w:p>
    <w:p>
      <w:pPr>
        <w:numPr>
          <w:ilvl w:val="0"/>
          <w:numId w:val="1012"/>
        </w:numPr>
        <w:pStyle w:val="Compact"/>
      </w:pPr>
      <w:r>
        <w:t xml:space="preserve">🧭 市场预判：震荡偏谨慎，先看止跌、再谈进攻。上周五两市成交 33885.45 亿且科创50下跌 5.5288%，高波动环境不适合开盘追涨。</w:t>
      </w:r>
    </w:p>
    <w:p>
      <w:pPr>
        <w:numPr>
          <w:ilvl w:val="0"/>
          <w:numId w:val="1012"/>
        </w:numPr>
        <w:pStyle w:val="Compact"/>
      </w:pPr>
      <w:r>
        <w:t xml:space="preserve">🔥 关注顺序：央国企银行红利的防守承接；油气开采/油服对原油上涨的映射；半导体设备与商业航天的超跌修复确认。</w:t>
      </w:r>
    </w:p>
    <w:p>
      <w:pPr>
        <w:numPr>
          <w:ilvl w:val="0"/>
          <w:numId w:val="1012"/>
        </w:numPr>
        <w:pStyle w:val="Compact"/>
      </w:pPr>
      <w:r>
        <w:t xml:space="preserve">🚫 回避方向：业绩预亏或传闻澄清股的无量高开、高位科技的一致性反抽、缺乏板块共振的单票脉冲。</w:t>
      </w:r>
    </w:p>
    <w:p>
      <w:pPr>
        <w:pStyle w:val="Heading3"/>
      </w:pPr>
      <w:bookmarkStart w:id="33" w:name="仓位分层"/>
      <w:r>
        <w:t xml:space="preserve">💡 仓位分层</w:t>
      </w:r>
      <w:bookmarkEnd w:id="33"/>
    </w:p>
    <w:p>
      <w:pPr>
        <w:numPr>
          <w:ilvl w:val="0"/>
          <w:numId w:val="1013"/>
        </w:numPr>
        <w:pStyle w:val="Compact"/>
      </w:pPr>
      <w:r>
        <w:t xml:space="preserve">激进：30%-40%，只参与原油映射或科技核心的首轮分歧承接，严禁追一字或急拉。</w:t>
      </w:r>
    </w:p>
    <w:p>
      <w:pPr>
        <w:numPr>
          <w:ilvl w:val="0"/>
          <w:numId w:val="1013"/>
        </w:numPr>
        <w:pStyle w:val="Compact"/>
      </w:pPr>
      <w:r>
        <w:t xml:space="preserve">稳健：20%-30%，以银行红利底仓为主，等待指数止跌和真实资金流恢复后再增加成长仓。</w:t>
      </w:r>
    </w:p>
    <w:p>
      <w:pPr>
        <w:numPr>
          <w:ilvl w:val="0"/>
          <w:numId w:val="1013"/>
        </w:numPr>
        <w:pStyle w:val="Compact"/>
      </w:pPr>
      <w:r>
        <w:t xml:space="preserve">保守：0%-15%，等待上证重回4000点并站稳、科创50止跌，或午盘确认资金主攻方向。</w:t>
      </w:r>
    </w:p>
    <w:p>
      <w:pPr>
        <w:pStyle w:val="Heading3"/>
      </w:pPr>
      <w:bookmarkStart w:id="34" w:name="主要风险"/>
      <w:r>
        <w:t xml:space="preserve">⚠️ 主要风险</w:t>
      </w:r>
      <w:bookmarkEnd w:id="34"/>
    </w:p>
    <w:p>
      <w:pPr>
        <w:numPr>
          <w:ilvl w:val="0"/>
          <w:numId w:val="1014"/>
        </w:numPr>
        <w:pStyle w:val="Compact"/>
      </w:pPr>
      <w:r>
        <w:t xml:space="preserve">科创50、创业板上周五放量重挫，若早盘再破低点，科技修复预案立即降级。</w:t>
      </w:r>
    </w:p>
    <w:p>
      <w:pPr>
        <w:numPr>
          <w:ilvl w:val="0"/>
          <w:numId w:val="1014"/>
        </w:numPr>
        <w:pStyle w:val="Compact"/>
      </w:pPr>
      <w:r>
        <w:t xml:space="preserve">原油上涨可能由事件驱动，若油价回落或油气板块高开低走，不可追高。</w:t>
      </w:r>
    </w:p>
    <w:p>
      <w:pPr>
        <w:numPr>
          <w:ilvl w:val="0"/>
          <w:numId w:val="1014"/>
        </w:numPr>
        <w:pStyle w:val="Compact"/>
      </w:pPr>
      <w:r>
        <w:t xml:space="preserve">资金流、板块表现和个股三源校验缺失，所有个股策略均需盘中二次确认。</w:t>
      </w:r>
    </w:p>
    <w:p>
      <w:r>
        <w:pict>
          <v:rect style="width:0;height:1.5pt" o:hralign="center" o:hrstd="t" o:hr="t"/>
        </w:pict>
      </w:r>
    </w:p>
    <w:p>
      <w:pPr>
        <w:pStyle w:val="Heading2"/>
      </w:pPr>
      <w:bookmarkStart w:id="35" w:name="重点投资方向"/>
      <w:r>
        <w:t xml:space="preserve">🎯 重点投资方向</w:t>
      </w:r>
      <w:bookmarkEnd w:id="35"/>
    </w:p>
    <w:p>
      <w:pPr>
        <w:pStyle w:val="Heading3"/>
      </w:pPr>
      <w:bookmarkStart w:id="36" w:name="方向一国有大行-央国企高股息优先级高"/>
      <w:r>
        <w:t xml:space="preserve">方向一：国有大行-央国企高股息（优先级：高）</w:t>
      </w:r>
      <w:bookmarkEnd w:id="36"/>
    </w:p>
    <w:p>
      <w:pPr>
        <w:numPr>
          <w:ilvl w:val="0"/>
          <w:numId w:val="1015"/>
        </w:numPr>
        <w:pStyle w:val="Compact"/>
      </w:pPr>
      <w:r>
        <w:t xml:space="preserve">📌 证据链：上证仅跌1.0015%，显著强于创业板-4.3662%和科创50-5.5288%；工商银行华泰行情上涨0.83%；华泰市场洞察亦把银行等高股息列为防守线，但仅作补充。</w:t>
      </w:r>
    </w:p>
    <w:p>
      <w:pPr>
        <w:numPr>
          <w:ilvl w:val="0"/>
          <w:numId w:val="1015"/>
        </w:numPr>
        <w:pStyle w:val="Compact"/>
      </w:pPr>
      <w:r>
        <w:t xml:space="preserve">🔥 核心标的：工商银行（自选股与实盘持仓、权重稳定器）、农业银行（实盘持仓，补充行情显示上日上涨1.96%）、其他国有大行仅作板块联动观察。</w:t>
      </w:r>
    </w:p>
    <w:p>
      <w:pPr>
        <w:numPr>
          <w:ilvl w:val="0"/>
          <w:numId w:val="1015"/>
        </w:numPr>
        <w:pStyle w:val="Compact"/>
      </w:pPr>
      <w:r>
        <w:t xml:space="preserve">💡 参与策略：激进不适合追银行急拉；稳健保留底仓、回踩不破前收再观察；保守用银行强弱判断指数防守质量。</w:t>
      </w:r>
    </w:p>
    <w:p>
      <w:pPr>
        <w:numPr>
          <w:ilvl w:val="0"/>
          <w:numId w:val="1015"/>
        </w:numPr>
        <w:pStyle w:val="Compact"/>
      </w:pPr>
      <w:r>
        <w:t xml:space="preserve">✅ 触发条件：银行板块多数上涨、工商银行守住7.27元前收、农业银行守住6.07元上日低点，且上证相对成长指数继续抗跌。</w:t>
      </w:r>
    </w:p>
    <w:p>
      <w:pPr>
        <w:numPr>
          <w:ilvl w:val="0"/>
          <w:numId w:val="1015"/>
        </w:numPr>
        <w:pStyle w:val="Compact"/>
      </w:pPr>
      <w:r>
        <w:t xml:space="preserve">🚫 失效条件：银行板块转弱、工商银行跌破7.27元且无法收回，或农业银行跌破6.07元并放量。</w:t>
      </w:r>
    </w:p>
    <w:p>
      <w:pPr>
        <w:numPr>
          <w:ilvl w:val="0"/>
          <w:numId w:val="1015"/>
        </w:numPr>
        <w:pStyle w:val="Compact"/>
      </w:pPr>
      <w:r>
        <w:t xml:space="preserve">⚠️ 风险：红利资产拥挤、利率预期变化及指数系统性下跌。</w:t>
      </w:r>
    </w:p>
    <w:p>
      <w:pPr>
        <w:pStyle w:val="Heading3"/>
      </w:pPr>
      <w:bookmarkStart w:id="37" w:name="方向二油气开采-油服能源运输优先级中高"/>
      <w:r>
        <w:t xml:space="preserve">方向二：油气开采-油服/能源运输（优先级：中高）</w:t>
      </w:r>
      <w:bookmarkEnd w:id="37"/>
    </w:p>
    <w:p>
      <w:pPr>
        <w:numPr>
          <w:ilvl w:val="0"/>
          <w:numId w:val="1016"/>
        </w:numPr>
        <w:pStyle w:val="Compact"/>
      </w:pPr>
      <w:r>
        <w:t xml:space="preserve">📌 证据链：WTI原油报73.936、上涨3.54%；黄金与铜同步偏弱，显示能源价格是独立强信号；华泰文本提示地缘不确定性，但事件细节未独立核验。</w:t>
      </w:r>
    </w:p>
    <w:p>
      <w:pPr>
        <w:numPr>
          <w:ilvl w:val="0"/>
          <w:numId w:val="1016"/>
        </w:numPr>
        <w:pStyle w:val="Compact"/>
      </w:pPr>
      <w:r>
        <w:t xml:space="preserve">🔥 核心标的：本次</w:t>
      </w:r>
      <w:r>
        <w:t xml:space="preserve"> </w:t>
      </w:r>
      <w:r>
        <w:rPr>
          <w:rStyle w:val="VerbatimChar"/>
        </w:rPr>
        <w:t xml:space="preserve">active_stocks</w:t>
      </w:r>
      <w:r>
        <w:t xml:space="preserve"> </w:t>
      </w:r>
      <w:r>
        <w:t xml:space="preserve">与板块数据失败，不编造个股强弱；开盘后只从油气开采、油服、能源运输中选择成交最强且多股共振的中军。</w:t>
      </w:r>
    </w:p>
    <w:p>
      <w:pPr>
        <w:numPr>
          <w:ilvl w:val="0"/>
          <w:numId w:val="1016"/>
        </w:numPr>
        <w:pStyle w:val="Compact"/>
      </w:pPr>
      <w:r>
        <w:t xml:space="preserve">💡 参与策略：激进等首次回踩承接；稳健等板块放量和油价维持强势；保守只观察。</w:t>
      </w:r>
    </w:p>
    <w:p>
      <w:pPr>
        <w:numPr>
          <w:ilvl w:val="0"/>
          <w:numId w:val="1016"/>
        </w:numPr>
        <w:pStyle w:val="Compact"/>
      </w:pPr>
      <w:r>
        <w:t xml:space="preserve">✅ 触发条件：油价维持涨势、油气至少2-3只核心股放量联动、板块高开后不快速回补涨幅。</w:t>
      </w:r>
    </w:p>
    <w:p>
      <w:pPr>
        <w:numPr>
          <w:ilvl w:val="0"/>
          <w:numId w:val="1016"/>
        </w:numPr>
        <w:pStyle w:val="Compact"/>
      </w:pPr>
      <w:r>
        <w:t xml:space="preserve">🚫 失效条件：WTI明显回吐、板块高开低走或仅单票脉冲。</w:t>
      </w:r>
    </w:p>
    <w:p>
      <w:pPr>
        <w:numPr>
          <w:ilvl w:val="0"/>
          <w:numId w:val="1016"/>
        </w:numPr>
        <w:pStyle w:val="Compact"/>
      </w:pPr>
      <w:r>
        <w:t xml:space="preserve">⚠️ 风险：地缘事件缓和、油价快速反转、高开兑现。</w:t>
      </w:r>
    </w:p>
    <w:p>
      <w:pPr>
        <w:pStyle w:val="Heading3"/>
      </w:pPr>
      <w:bookmarkStart w:id="38" w:name="方向三半导体设备-商业航天超跌修复优先级观察"/>
      <w:r>
        <w:t xml:space="preserve">方向三：半导体设备-商业航天超跌修复（优先级：观察）</w:t>
      </w:r>
      <w:bookmarkEnd w:id="38"/>
    </w:p>
    <w:p>
      <w:pPr>
        <w:numPr>
          <w:ilvl w:val="0"/>
          <w:numId w:val="1017"/>
        </w:numPr>
        <w:pStyle w:val="Compact"/>
      </w:pPr>
      <w:r>
        <w:t xml:space="preserve">📌 证据链：科创50上周五下跌5.5288%、创业板下跌4.3662%，超跌修复需求存在；华泰文本给出半导体和商业航天产业线索；但本地资金、板块和个股校验全部缺失，证据不足以支持直接主攻。</w:t>
      </w:r>
    </w:p>
    <w:p>
      <w:pPr>
        <w:numPr>
          <w:ilvl w:val="0"/>
          <w:numId w:val="1017"/>
        </w:numPr>
        <w:pStyle w:val="Compact"/>
      </w:pPr>
      <w:r>
        <w:t xml:space="preserve">🔥 核心标的：半导体设备与商业航天各自的成交核心；华泰候选海兰信、佳缘科技仅作高波动线索，不因华泰单源数据直接推荐。</w:t>
      </w:r>
    </w:p>
    <w:p>
      <w:pPr>
        <w:numPr>
          <w:ilvl w:val="0"/>
          <w:numId w:val="1017"/>
        </w:numPr>
        <w:pStyle w:val="Compact"/>
      </w:pPr>
      <w:r>
        <w:t xml:space="preserve">💡 参与策略：激进只做核心股止跌后的分歧转强；稳健等待科创50回稳和板块多股联动；保守回避。</w:t>
      </w:r>
    </w:p>
    <w:p>
      <w:pPr>
        <w:numPr>
          <w:ilvl w:val="0"/>
          <w:numId w:val="1017"/>
        </w:numPr>
        <w:pStyle w:val="Compact"/>
      </w:pPr>
      <w:r>
        <w:t xml:space="preserve">✅ 触发条件：科创50不再创新低、核心股收复开盘价、板块至少两个细分同步放量。</w:t>
      </w:r>
    </w:p>
    <w:p>
      <w:pPr>
        <w:numPr>
          <w:ilvl w:val="0"/>
          <w:numId w:val="1017"/>
        </w:numPr>
        <w:pStyle w:val="Compact"/>
      </w:pPr>
      <w:r>
        <w:t xml:space="preserve">🚫 失效条件：科创50再度快速下探、核心股高开低走、板块扩散失败。</w:t>
      </w:r>
    </w:p>
    <w:p>
      <w:pPr>
        <w:numPr>
          <w:ilvl w:val="0"/>
          <w:numId w:val="1017"/>
        </w:numPr>
        <w:pStyle w:val="Compact"/>
      </w:pPr>
      <w:r>
        <w:t xml:space="preserve">⚠️ 风险：高位筹码继续兑现、华泰文本催化未获结构化数据验证、反抽后再下跌。</w:t>
      </w:r>
    </w:p>
    <w:p>
      <w:r>
        <w:pict>
          <v:rect style="width:0;height:1.5pt" o:hralign="center" o:hrstd="t" o:hr="t"/>
        </w:pict>
      </w:r>
    </w:p>
    <w:p>
      <w:pPr>
        <w:pStyle w:val="Heading2"/>
      </w:pPr>
      <w:bookmarkStart w:id="39" w:name="用户实盘持仓策略"/>
      <w:r>
        <w:t xml:space="preserve">💼 用户实盘持仓策略</w:t>
      </w:r>
      <w:bookmarkEnd w:id="39"/>
    </w:p>
    <w:p>
      <w:pPr>
        <w:pStyle w:val="BlockText"/>
      </w:pPr>
      <w:r>
        <w:t xml:space="preserve">行情口径：弘元绿能、风语筑、工商银行使用华泰补充行情；农业银行使用单次华泰指标补充查询。由于本地三源个股校验失败，以下以条件式策略为主，不把单源价格写成强确定事实。</w:t>
      </w:r>
    </w:p>
    <w:p>
      <w:pPr>
        <w:pStyle w:val="Heading3"/>
      </w:pPr>
      <w:bookmarkStart w:id="40" w:name="弘元绿能603185300股成本26.6669元"/>
      <w:r>
        <w:t xml:space="preserve">弘元绿能（603185）｜300股｜成本26.6669元</w:t>
      </w:r>
      <w:bookmarkEnd w:id="40"/>
    </w:p>
    <w:p>
      <w:pPr>
        <w:numPr>
          <w:ilvl w:val="0"/>
          <w:numId w:val="1018"/>
        </w:numPr>
        <w:pStyle w:val="Compact"/>
      </w:pPr>
      <w:r>
        <w:t xml:space="preserve">📉 最新参考价14.80元，参考浮亏44.50%。亏损幅度较大，但不能仅因远离成本价而无条件补仓。</w:t>
      </w:r>
    </w:p>
    <w:p>
      <w:pPr>
        <w:numPr>
          <w:ilvl w:val="0"/>
          <w:numId w:val="1018"/>
        </w:numPr>
        <w:pStyle w:val="Compact"/>
      </w:pPr>
      <w:r>
        <w:t xml:space="preserve">💡 今日动作：清仓观察/减仓优先。若早盘反弹但光伏板块无联动，优先借反弹降低仓位；若低开后快速跌破13.10元跌停参考位附近，不盲目抄底。</w:t>
      </w:r>
    </w:p>
    <w:p>
      <w:pPr>
        <w:numPr>
          <w:ilvl w:val="0"/>
          <w:numId w:val="1018"/>
        </w:numPr>
        <w:pStyle w:val="Compact"/>
      </w:pPr>
      <w:r>
        <w:t xml:space="preserve">🚫 减仓/离场触发：跌破14.55元前收且30分钟不能收回；或反弹接近16.01元涨停参考位前明显放量滞涨、板块不跟随。</w:t>
      </w:r>
    </w:p>
    <w:p>
      <w:pPr>
        <w:numPr>
          <w:ilvl w:val="0"/>
          <w:numId w:val="1018"/>
        </w:numPr>
        <w:pStyle w:val="Compact"/>
      </w:pPr>
      <w:r>
        <w:t xml:space="preserve">✅ 条件加仓：仅当光伏板块放量、多股共振，个股站稳14.82元卖一上方并回踩确认；加仓后总仓位仍应受控。</w:t>
      </w:r>
    </w:p>
    <w:p>
      <w:pPr>
        <w:numPr>
          <w:ilvl w:val="0"/>
          <w:numId w:val="1018"/>
        </w:numPr>
        <w:pStyle w:val="Compact"/>
      </w:pPr>
      <w:r>
        <w:t xml:space="preserve">⚠️ 失效与风险：板块资金继续缺席、个股弱于指数或再创新低，低吸逻辑失效；光伏供需与高负债周期风险需持续防范。</w:t>
      </w:r>
    </w:p>
    <w:p>
      <w:pPr>
        <w:pStyle w:val="Heading3"/>
      </w:pPr>
      <w:bookmarkStart w:id="41" w:name="风语筑603466700股成本13.2159元"/>
      <w:r>
        <w:t xml:space="preserve">风语筑（603466）｜700股｜成本13.2159元</w:t>
      </w:r>
      <w:bookmarkEnd w:id="41"/>
    </w:p>
    <w:p>
      <w:pPr>
        <w:numPr>
          <w:ilvl w:val="0"/>
          <w:numId w:val="1019"/>
        </w:numPr>
        <w:pStyle w:val="Compact"/>
      </w:pPr>
      <w:r>
        <w:t xml:space="preserve">📉 最新参考价11.60元，参考浮亏12.23%。当前仍低于成本，但动作应由趋势和板块共振决定，而非只等回本。</w:t>
      </w:r>
    </w:p>
    <w:p>
      <w:pPr>
        <w:numPr>
          <w:ilvl w:val="0"/>
          <w:numId w:val="1019"/>
        </w:numPr>
        <w:pStyle w:val="Compact"/>
      </w:pPr>
      <w:r>
        <w:t xml:space="preserve">💡 今日动作：持有观察、反弹减仓。若AI应用/数字内容不能形成板块联动，冲高应优先降低风险仓。</w:t>
      </w:r>
    </w:p>
    <w:p>
      <w:pPr>
        <w:numPr>
          <w:ilvl w:val="0"/>
          <w:numId w:val="1019"/>
        </w:numPr>
        <w:pStyle w:val="Compact"/>
      </w:pPr>
      <w:r>
        <w:t xml:space="preserve">🚫 减仓/离场触发：跌破11.33元前收且无法收回；或冲击12.46元涨停参考位附近出现放量回落。</w:t>
      </w:r>
    </w:p>
    <w:p>
      <w:pPr>
        <w:numPr>
          <w:ilvl w:val="0"/>
          <w:numId w:val="1019"/>
        </w:numPr>
        <w:pStyle w:val="Compact"/>
      </w:pPr>
      <w:r>
        <w:t xml:space="preserve">✅ 条件加仓：仅在数字内容或AI应用多股联动、个股站稳11.60元并完成回踩确认时小仓参与，禁止下跌途中摊薄。</w:t>
      </w:r>
    </w:p>
    <w:p>
      <w:pPr>
        <w:numPr>
          <w:ilvl w:val="0"/>
          <w:numId w:val="1019"/>
        </w:numPr>
        <w:pStyle w:val="Compact"/>
      </w:pPr>
      <w:r>
        <w:t xml:space="preserve">⚠️ 失效与风险：题材无扩散、成交缩量、指数成长风格继续下跌，修复逻辑失效。</w:t>
      </w:r>
    </w:p>
    <w:p>
      <w:pPr>
        <w:pStyle w:val="Heading3"/>
      </w:pPr>
      <w:bookmarkStart w:id="42" w:name="工商银行6013981900股成本7.0601元"/>
      <w:r>
        <w:t xml:space="preserve">工商银行（601398）｜1900股｜成本7.0601元</w:t>
      </w:r>
      <w:bookmarkEnd w:id="42"/>
    </w:p>
    <w:p>
      <w:pPr>
        <w:numPr>
          <w:ilvl w:val="0"/>
          <w:numId w:val="1020"/>
        </w:numPr>
        <w:pStyle w:val="Compact"/>
      </w:pPr>
      <w:r>
        <w:t xml:space="preserve">📈 最新参考价7.33元，参考浮盈3.82%，是组合中最稳健的持有标的。</w:t>
      </w:r>
    </w:p>
    <w:p>
      <w:pPr>
        <w:numPr>
          <w:ilvl w:val="0"/>
          <w:numId w:val="1020"/>
        </w:numPr>
        <w:pStyle w:val="Compact"/>
      </w:pPr>
      <w:r>
        <w:t xml:space="preserve">💡 今日动作：持有。其价值在于红利防守和指数稳定，不建议因小幅盈利频繁交易，也不追涨加仓。</w:t>
      </w:r>
    </w:p>
    <w:p>
      <w:pPr>
        <w:numPr>
          <w:ilvl w:val="0"/>
          <w:numId w:val="1020"/>
        </w:numPr>
        <w:pStyle w:val="Compact"/>
      </w:pPr>
      <w:r>
        <w:t xml:space="preserve">🚫 减仓/离场触发：跌破7.27元前收且银行板块同步转弱；若进一步逼近6.54元跌停参考位，应重新评估防守逻辑。</w:t>
      </w:r>
    </w:p>
    <w:p>
      <w:pPr>
        <w:numPr>
          <w:ilvl w:val="0"/>
          <w:numId w:val="1020"/>
        </w:numPr>
        <w:pStyle w:val="Compact"/>
      </w:pPr>
      <w:r>
        <w:t xml:space="preserve">✅ 条件加仓：银行板块多数走强、上证相对成长指数抗跌，且个股回踩7.27元不破后重新站上7.33元，方可小幅加仓。</w:t>
      </w:r>
    </w:p>
    <w:p>
      <w:pPr>
        <w:numPr>
          <w:ilvl w:val="0"/>
          <w:numId w:val="1020"/>
        </w:numPr>
        <w:pStyle w:val="Compact"/>
      </w:pPr>
      <w:r>
        <w:t xml:space="preserve">⚠️ 失效与风险：红利风格拥挤、银行板块补跌、利率及资产质量预期变化。</w:t>
      </w:r>
    </w:p>
    <w:p>
      <w:pPr>
        <w:pStyle w:val="Heading3"/>
      </w:pPr>
      <w:bookmarkStart w:id="43" w:name="农业银行6012885300股成本6.4244元"/>
      <w:r>
        <w:t xml:space="preserve">农业银行（601288）｜5300股｜成本6.4244元</w:t>
      </w:r>
      <w:bookmarkEnd w:id="43"/>
    </w:p>
    <w:p>
      <w:pPr>
        <w:numPr>
          <w:ilvl w:val="0"/>
          <w:numId w:val="1021"/>
        </w:numPr>
        <w:pStyle w:val="Compact"/>
      </w:pPr>
      <w:r>
        <w:t xml:space="preserve">📉 华泰补充查询显示上一交易日参考价6.23元、上涨1.96%，参考浮亏3.03%；上日低点6.07元，模型支撑5.79元、压力7.16元。该数据未获新浪/东财/腾讯三源校验。</w:t>
      </w:r>
    </w:p>
    <w:p>
      <w:pPr>
        <w:numPr>
          <w:ilvl w:val="0"/>
          <w:numId w:val="1021"/>
        </w:numPr>
        <w:pStyle w:val="Compact"/>
      </w:pPr>
      <w:r>
        <w:t xml:space="preserve">💡 今日动作：持有观察。与工商银行同属国有大行防守线，当前不应为摊低成本无条件加仓。</w:t>
      </w:r>
    </w:p>
    <w:p>
      <w:pPr>
        <w:numPr>
          <w:ilvl w:val="0"/>
          <w:numId w:val="1021"/>
        </w:numPr>
        <w:pStyle w:val="Compact"/>
      </w:pPr>
      <w:r>
        <w:t xml:space="preserve">🚫 减仓/离场触发：跌破6.07元且银行板块同步走弱；若后续跌破5.79元模型支撑，离场条件强化。</w:t>
      </w:r>
    </w:p>
    <w:p>
      <w:pPr>
        <w:numPr>
          <w:ilvl w:val="0"/>
          <w:numId w:val="1021"/>
        </w:numPr>
        <w:pStyle w:val="Compact"/>
      </w:pPr>
      <w:r>
        <w:t xml:space="preserve">✅ 条件加仓：仅当银行板块共振、个股守住6.07元并重新放量站稳6.23元后小仓加仓；接近7.16元压力区则更适合评估兑现。</w:t>
      </w:r>
    </w:p>
    <w:p>
      <w:pPr>
        <w:numPr>
          <w:ilvl w:val="0"/>
          <w:numId w:val="1021"/>
        </w:numPr>
        <w:pStyle w:val="Compact"/>
      </w:pPr>
      <w:r>
        <w:t xml:space="preserve">⚠️ 失效与风险：补充价格未多源确认；若指数系统性下跌或高股息风格退潮，防守逻辑失效。</w:t>
      </w:r>
    </w:p>
    <w:p>
      <w:pPr>
        <w:pStyle w:val="Heading3"/>
      </w:pPr>
      <w:bookmarkStart w:id="44" w:name="组合优先级"/>
      <w:r>
        <w:t xml:space="preserve">📌 组合优先级</w:t>
      </w:r>
      <w:bookmarkEnd w:id="44"/>
    </w:p>
    <w:p>
      <w:pPr>
        <w:numPr>
          <w:ilvl w:val="0"/>
          <w:numId w:val="1022"/>
        </w:numPr>
        <w:pStyle w:val="Compact"/>
      </w:pPr>
      <w:r>
        <w:t xml:space="preserve">⚠️ 最该减仓观察：弘元绿能，浮亏44.50%且光伏主线共振尚未确认。</w:t>
      </w:r>
    </w:p>
    <w:p>
      <w:pPr>
        <w:numPr>
          <w:ilvl w:val="0"/>
          <w:numId w:val="1022"/>
        </w:numPr>
        <w:pStyle w:val="Compact"/>
      </w:pPr>
      <w:r>
        <w:t xml:space="preserve">🛡️ 最稳健持有：工商银行，参考浮盈3.82%且与高股息防守方向共振。</w:t>
      </w:r>
    </w:p>
    <w:p>
      <w:pPr>
        <w:numPr>
          <w:ilvl w:val="0"/>
          <w:numId w:val="1022"/>
        </w:numPr>
        <w:pStyle w:val="Compact"/>
      </w:pPr>
      <w:r>
        <w:t xml:space="preserve">✅ 满足条件才可加仓：农业银行；必须先守住6.07元并重新站稳6.23元，同时银行板块共振。风语筑亦只允许在AI应用板块联动时小仓跟踪。</w:t>
      </w:r>
    </w:p>
    <w:p>
      <w:r>
        <w:pict>
          <v:rect style="width:0;height:1.5pt" o:hralign="center" o:hrstd="t" o:hr="t"/>
        </w:pict>
      </w:r>
    </w:p>
    <w:p>
      <w:pPr>
        <w:pStyle w:val="BlockText"/>
      </w:pPr>
      <w:r>
        <w:t xml:space="preserve">📊 生成时间：2026-07-13 08:30（北京时间，Asia/Shanghai）</w:t>
      </w:r>
      <w:r>
        <w:t xml:space="preserve"> </w:t>
      </w:r>
      <w:r>
        <w:t xml:space="preserve">🔮 by：先知 v1.02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2026-07-13T00:36:23Z</dcterms:created>
  <dcterms:modified xsi:type="dcterms:W3CDTF">2026-07-13T00:36:23Z</dcterms:modified>
</cp:coreProperties>
</file>

<file path=docProps/custom.xml><?xml version="1.0" encoding="utf-8"?>
<Properties xmlns="http://schemas.openxmlformats.org/officeDocument/2006/custom-properties" xmlns:vt="http://schemas.openxmlformats.org/officeDocument/2006/docPropsVTypes"/>
</file>